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tbl>
      <w:tblPr>
        <w:tblStyle w:val="6"/>
        <w:tblW w:w="8522" w:type="dxa"/>
        <w:jc w:val="center"/>
        <w:tblLayout w:type="fixed"/>
        <w:tblCellMar>
          <w:top w:w="0" w:type="dxa"/>
          <w:left w:w="108" w:type="dxa"/>
          <w:bottom w:w="0" w:type="dxa"/>
          <w:right w:w="108" w:type="dxa"/>
        </w:tblCellMar>
      </w:tblPr>
      <w:tblGrid>
        <w:gridCol w:w="8522"/>
      </w:tblGrid>
      <w:tr w14:paraId="50235FD7">
        <w:tblPrEx>
          <w:tblCellMar>
            <w:top w:w="0" w:type="dxa"/>
            <w:left w:w="108" w:type="dxa"/>
            <w:bottom w:w="0" w:type="dxa"/>
            <w:right w:w="108" w:type="dxa"/>
          </w:tblCellMar>
        </w:tblPrEx>
        <w:trPr>
          <w:trHeight w:val="2880" w:hRule="atLeast"/>
          <w:jc w:val="center"/>
        </w:trPr>
        <w:tc>
          <w:tcPr>
            <w:tcW w:w="8522" w:type="dxa"/>
          </w:tcPr>
          <w:p w14:paraId="3EB1C006">
            <w:pPr>
              <w:pStyle w:val="15"/>
              <w:jc w:val="center"/>
              <w:rPr>
                <w:rFonts w:ascii="Times New Roman" w:hAnsi="Times New Roman" w:cs="Times New Roman"/>
                <w:caps/>
              </w:rPr>
            </w:pPr>
          </w:p>
        </w:tc>
      </w:tr>
      <w:tr w14:paraId="46796A24">
        <w:tblPrEx>
          <w:tblCellMar>
            <w:top w:w="0" w:type="dxa"/>
            <w:left w:w="108" w:type="dxa"/>
            <w:bottom w:w="0" w:type="dxa"/>
            <w:right w:w="108" w:type="dxa"/>
          </w:tblCellMar>
        </w:tblPrEx>
        <w:trPr>
          <w:trHeight w:val="1440" w:hRule="atLeast"/>
          <w:jc w:val="center"/>
        </w:trPr>
        <w:tc>
          <w:tcPr>
            <w:tcW w:w="8522" w:type="dxa"/>
            <w:tcBorders>
              <w:bottom w:val="single" w:color="4F81BD" w:sz="4" w:space="0"/>
            </w:tcBorders>
            <w:vAlign w:val="center"/>
          </w:tcPr>
          <w:p w14:paraId="03F93418">
            <w:pPr>
              <w:pStyle w:val="15"/>
              <w:jc w:val="center"/>
              <w:rPr>
                <w:rFonts w:ascii="Times New Roman" w:hAnsi="Times New Roman" w:cs="Times New Roman"/>
                <w:sz w:val="80"/>
                <w:szCs w:val="80"/>
              </w:rPr>
            </w:pPr>
            <w:r>
              <w:rPr>
                <w:rFonts w:ascii="Times New Roman" w:hAnsi="Times New Roman" w:cs="Times New Roman"/>
                <w:sz w:val="80"/>
                <w:szCs w:val="80"/>
              </w:rPr>
              <w:t>2015</w:t>
            </w:r>
            <w:r>
              <w:rPr>
                <w:rFonts w:hint="eastAsia" w:ascii="Times New Roman" w:hAnsi="Times New Roman" w:cs="宋体"/>
                <w:sz w:val="80"/>
                <w:szCs w:val="80"/>
              </w:rPr>
              <w:t>年东莞市公安局部门预算</w:t>
            </w:r>
          </w:p>
        </w:tc>
      </w:tr>
      <w:tr w14:paraId="40AE895B">
        <w:tblPrEx>
          <w:tblCellMar>
            <w:top w:w="0" w:type="dxa"/>
            <w:left w:w="108" w:type="dxa"/>
            <w:bottom w:w="0" w:type="dxa"/>
            <w:right w:w="108" w:type="dxa"/>
          </w:tblCellMar>
        </w:tblPrEx>
        <w:trPr>
          <w:trHeight w:val="720" w:hRule="atLeast"/>
          <w:jc w:val="center"/>
        </w:trPr>
        <w:tc>
          <w:tcPr>
            <w:tcW w:w="8522" w:type="dxa"/>
            <w:tcBorders>
              <w:top w:val="single" w:color="4F81BD" w:sz="4" w:space="0"/>
            </w:tcBorders>
            <w:vAlign w:val="center"/>
          </w:tcPr>
          <w:p w14:paraId="2DDB8A5B">
            <w:pPr>
              <w:pStyle w:val="15"/>
              <w:jc w:val="center"/>
              <w:rPr>
                <w:rFonts w:ascii="Times New Roman" w:hAnsi="Times New Roman" w:cs="Times New Roman"/>
                <w:sz w:val="44"/>
                <w:szCs w:val="44"/>
              </w:rPr>
            </w:pPr>
          </w:p>
        </w:tc>
      </w:tr>
      <w:tr w14:paraId="620998CB">
        <w:tblPrEx>
          <w:tblCellMar>
            <w:top w:w="0" w:type="dxa"/>
            <w:left w:w="108" w:type="dxa"/>
            <w:bottom w:w="0" w:type="dxa"/>
            <w:right w:w="108" w:type="dxa"/>
          </w:tblCellMar>
        </w:tblPrEx>
        <w:trPr>
          <w:trHeight w:val="360" w:hRule="atLeast"/>
          <w:jc w:val="center"/>
        </w:trPr>
        <w:tc>
          <w:tcPr>
            <w:tcW w:w="8522" w:type="dxa"/>
            <w:vAlign w:val="center"/>
          </w:tcPr>
          <w:p w14:paraId="64AE3671">
            <w:pPr>
              <w:pStyle w:val="15"/>
              <w:jc w:val="center"/>
              <w:rPr>
                <w:rFonts w:ascii="Times New Roman" w:hAnsi="Times New Roman" w:cs="Times New Roman"/>
              </w:rPr>
            </w:pPr>
          </w:p>
        </w:tc>
      </w:tr>
      <w:tr w14:paraId="078E8EF7">
        <w:tblPrEx>
          <w:tblCellMar>
            <w:top w:w="0" w:type="dxa"/>
            <w:left w:w="108" w:type="dxa"/>
            <w:bottom w:w="0" w:type="dxa"/>
            <w:right w:w="108" w:type="dxa"/>
          </w:tblCellMar>
        </w:tblPrEx>
        <w:trPr>
          <w:trHeight w:val="360" w:hRule="atLeast"/>
          <w:jc w:val="center"/>
        </w:trPr>
        <w:tc>
          <w:tcPr>
            <w:tcW w:w="8522" w:type="dxa"/>
            <w:vAlign w:val="center"/>
          </w:tcPr>
          <w:p w14:paraId="442220EA">
            <w:pPr>
              <w:pStyle w:val="15"/>
              <w:jc w:val="center"/>
              <w:rPr>
                <w:rFonts w:ascii="Times New Roman" w:hAnsi="Times New Roman" w:cs="Times New Roman"/>
                <w:b/>
                <w:bCs/>
              </w:rPr>
            </w:pPr>
          </w:p>
        </w:tc>
      </w:tr>
    </w:tbl>
    <w:p w14:paraId="59DB2653">
      <w:pPr>
        <w:widowControl/>
        <w:jc w:val="left"/>
        <w:rPr>
          <w:rFonts w:ascii="Times New Roman" w:hAnsi="Times New Roman" w:cs="Times New Roman"/>
        </w:rPr>
      </w:pPr>
    </w:p>
    <w:p w14:paraId="02956241">
      <w:pPr>
        <w:widowControl/>
        <w:jc w:val="left"/>
        <w:rPr>
          <w:rFonts w:ascii="Times New Roman" w:hAnsi="Times New Roman" w:cs="Times New Roman"/>
        </w:rPr>
      </w:pPr>
    </w:p>
    <w:p w14:paraId="64445518">
      <w:pPr>
        <w:widowControl/>
        <w:jc w:val="left"/>
        <w:rPr>
          <w:rFonts w:ascii="Times New Roman" w:hAnsi="Times New Roman" w:cs="Times New Roman"/>
        </w:rPr>
      </w:pPr>
    </w:p>
    <w:p w14:paraId="3BC8F14E">
      <w:pPr>
        <w:widowControl/>
        <w:jc w:val="left"/>
        <w:rPr>
          <w:rFonts w:ascii="Times New Roman" w:hAnsi="Times New Roman" w:cs="Times New Roman"/>
        </w:rPr>
      </w:pPr>
    </w:p>
    <w:p w14:paraId="294E82F9">
      <w:pPr>
        <w:widowControl/>
        <w:jc w:val="left"/>
        <w:rPr>
          <w:rFonts w:ascii="Times New Roman" w:hAnsi="Times New Roman" w:cs="Times New Roman"/>
        </w:rPr>
      </w:pPr>
    </w:p>
    <w:p w14:paraId="495E817B">
      <w:pPr>
        <w:widowControl/>
        <w:jc w:val="left"/>
        <w:rPr>
          <w:rFonts w:ascii="Times New Roman" w:hAnsi="Times New Roman" w:cs="Times New Roman"/>
        </w:rPr>
      </w:pPr>
    </w:p>
    <w:p w14:paraId="56D20385">
      <w:pPr>
        <w:widowControl/>
        <w:jc w:val="left"/>
        <w:rPr>
          <w:rFonts w:ascii="Times New Roman" w:hAnsi="Times New Roman" w:cs="Times New Roman"/>
        </w:rPr>
      </w:pPr>
    </w:p>
    <w:p w14:paraId="28671D13">
      <w:pPr>
        <w:widowControl/>
        <w:jc w:val="left"/>
        <w:rPr>
          <w:rFonts w:ascii="Times New Roman" w:hAnsi="Times New Roman" w:cs="Times New Roman"/>
        </w:rPr>
      </w:pPr>
    </w:p>
    <w:p w14:paraId="775773E2">
      <w:pPr>
        <w:widowControl/>
        <w:jc w:val="left"/>
        <w:rPr>
          <w:rFonts w:ascii="Times New Roman" w:hAnsi="Times New Roman" w:cs="Times New Roman"/>
        </w:rPr>
      </w:pPr>
    </w:p>
    <w:p w14:paraId="76070977">
      <w:pPr>
        <w:widowControl/>
        <w:jc w:val="left"/>
        <w:rPr>
          <w:rFonts w:ascii="Times New Roman" w:hAnsi="Times New Roman" w:cs="Times New Roman"/>
        </w:rPr>
      </w:pPr>
    </w:p>
    <w:p w14:paraId="6EB31AF8">
      <w:pPr>
        <w:widowControl/>
        <w:jc w:val="left"/>
        <w:rPr>
          <w:rFonts w:ascii="Times New Roman" w:hAnsi="Times New Roman" w:cs="Times New Roman"/>
        </w:rPr>
      </w:pPr>
    </w:p>
    <w:p w14:paraId="552DA9A4">
      <w:pPr>
        <w:widowControl/>
        <w:jc w:val="left"/>
        <w:rPr>
          <w:rFonts w:ascii="Times New Roman" w:hAnsi="Times New Roman" w:cs="Times New Roman"/>
        </w:rPr>
      </w:pPr>
    </w:p>
    <w:p w14:paraId="4BC752A1">
      <w:pPr>
        <w:widowControl/>
        <w:jc w:val="left"/>
        <w:rPr>
          <w:rFonts w:ascii="Times New Roman" w:hAnsi="Times New Roman" w:cs="Times New Roman"/>
        </w:rPr>
      </w:pPr>
    </w:p>
    <w:p w14:paraId="69BA2B75">
      <w:pPr>
        <w:widowControl/>
        <w:jc w:val="left"/>
        <w:rPr>
          <w:rFonts w:ascii="Times New Roman" w:hAnsi="Times New Roman" w:cs="Times New Roman"/>
        </w:rPr>
      </w:pPr>
    </w:p>
    <w:p w14:paraId="5C94725F">
      <w:pPr>
        <w:widowControl/>
        <w:jc w:val="left"/>
        <w:rPr>
          <w:rFonts w:ascii="Times New Roman" w:hAnsi="Times New Roman" w:cs="Times New Roman"/>
        </w:rPr>
      </w:pPr>
    </w:p>
    <w:p w14:paraId="7134F1A9">
      <w:pPr>
        <w:widowControl/>
        <w:jc w:val="left"/>
        <w:rPr>
          <w:rFonts w:ascii="Times New Roman" w:hAnsi="Times New Roman" w:cs="Times New Roman"/>
        </w:rPr>
      </w:pPr>
    </w:p>
    <w:p w14:paraId="700D8E9E">
      <w:pPr>
        <w:widowControl/>
        <w:jc w:val="left"/>
        <w:rPr>
          <w:rFonts w:ascii="Times New Roman" w:hAnsi="Times New Roman" w:cs="Times New Roman"/>
        </w:rPr>
      </w:pPr>
    </w:p>
    <w:p w14:paraId="4EDFB68F">
      <w:pPr>
        <w:widowControl/>
        <w:jc w:val="left"/>
        <w:rPr>
          <w:rFonts w:ascii="Times New Roman" w:hAnsi="Times New Roman" w:cs="Times New Roman"/>
        </w:rPr>
      </w:pPr>
    </w:p>
    <w:p w14:paraId="32E0D042">
      <w:pPr>
        <w:widowControl/>
        <w:jc w:val="left"/>
        <w:rPr>
          <w:rFonts w:ascii="Times New Roman" w:hAnsi="Times New Roman" w:cs="Times New Roman"/>
        </w:rPr>
      </w:pPr>
    </w:p>
    <w:p w14:paraId="1826C00B">
      <w:pPr>
        <w:widowControl/>
        <w:jc w:val="left"/>
        <w:rPr>
          <w:rFonts w:ascii="Times New Roman" w:hAnsi="Times New Roman" w:cs="Times New Roman"/>
        </w:rPr>
      </w:pPr>
    </w:p>
    <w:p w14:paraId="0088ECCE">
      <w:pPr>
        <w:widowControl/>
        <w:jc w:val="left"/>
        <w:rPr>
          <w:rFonts w:ascii="Times New Roman" w:hAnsi="Times New Roman" w:cs="Times New Roman"/>
        </w:rPr>
      </w:pPr>
    </w:p>
    <w:p w14:paraId="04CE0294">
      <w:pPr>
        <w:widowControl/>
        <w:jc w:val="left"/>
        <w:rPr>
          <w:rFonts w:ascii="Times New Roman" w:hAnsi="Times New Roman" w:cs="Times New Roman"/>
        </w:rPr>
      </w:pPr>
    </w:p>
    <w:p w14:paraId="24CFC5BE">
      <w:pPr>
        <w:jc w:val="center"/>
        <w:rPr>
          <w:rFonts w:ascii="Times New Roman" w:hAnsi="Times New Roman" w:eastAsia="黑体" w:cs="Times New Roman"/>
          <w:sz w:val="32"/>
          <w:szCs w:val="32"/>
        </w:rPr>
      </w:pPr>
      <w:r>
        <w:rPr>
          <w:rFonts w:hint="eastAsia" w:ascii="Times New Roman" w:hAnsi="Times New Roman" w:eastAsia="黑体" w:cs="黑体"/>
          <w:sz w:val="32"/>
          <w:szCs w:val="32"/>
        </w:rPr>
        <w:t>目录</w:t>
      </w:r>
    </w:p>
    <w:p w14:paraId="6B970344">
      <w:pPr>
        <w:ind w:firstLine="640" w:firstLineChars="200"/>
        <w:rPr>
          <w:rFonts w:ascii="Times New Roman" w:hAnsi="Times New Roman" w:eastAsia="黑体" w:cs="Times New Roman"/>
          <w:sz w:val="32"/>
          <w:szCs w:val="32"/>
        </w:rPr>
      </w:pPr>
      <w:r>
        <w:rPr>
          <w:rFonts w:hint="eastAsia" w:ascii="Times New Roman" w:hAnsi="Times New Roman" w:eastAsia="黑体" w:cs="黑体"/>
          <w:sz w:val="32"/>
          <w:szCs w:val="32"/>
        </w:rPr>
        <w:t>第一部分</w:t>
      </w:r>
      <w:r>
        <w:rPr>
          <w:rFonts w:ascii="Times New Roman" w:hAnsi="Times New Roman" w:eastAsia="黑体" w:cs="Times New Roman"/>
          <w:sz w:val="32"/>
          <w:szCs w:val="32"/>
        </w:rPr>
        <w:t xml:space="preserve"> </w:t>
      </w:r>
      <w:r>
        <w:rPr>
          <w:rFonts w:hint="eastAsia" w:ascii="Times New Roman" w:hAnsi="Times New Roman" w:eastAsia="黑体" w:cs="黑体"/>
          <w:sz w:val="32"/>
          <w:szCs w:val="32"/>
        </w:rPr>
        <w:t>部门概况</w:t>
      </w:r>
    </w:p>
    <w:p w14:paraId="5F3C7672">
      <w:pPr>
        <w:ind w:firstLine="640" w:firstLineChars="200"/>
        <w:rPr>
          <w:rFonts w:ascii="Times New Roman" w:hAnsi="Times New Roman" w:eastAsia="仿宋_GB2312" w:cs="Times New Roman"/>
          <w:sz w:val="32"/>
          <w:szCs w:val="32"/>
        </w:rPr>
      </w:pPr>
      <w:r>
        <w:rPr>
          <w:rFonts w:hint="eastAsia" w:ascii="Times New Roman" w:hAnsi="Times New Roman" w:eastAsia="仿宋_GB2312" w:cs="仿宋_GB2312"/>
          <w:sz w:val="32"/>
          <w:szCs w:val="32"/>
        </w:rPr>
        <w:t>一、部门主要职责</w:t>
      </w:r>
    </w:p>
    <w:p w14:paraId="5E87DA97">
      <w:pPr>
        <w:ind w:firstLine="640" w:firstLineChars="200"/>
        <w:rPr>
          <w:rFonts w:ascii="Times New Roman" w:hAnsi="Times New Roman" w:eastAsia="仿宋_GB2312" w:cs="Times New Roman"/>
          <w:sz w:val="32"/>
          <w:szCs w:val="32"/>
        </w:rPr>
      </w:pPr>
      <w:r>
        <w:rPr>
          <w:rFonts w:hint="eastAsia" w:ascii="Times New Roman" w:hAnsi="Times New Roman" w:eastAsia="仿宋_GB2312" w:cs="仿宋_GB2312"/>
          <w:sz w:val="32"/>
          <w:szCs w:val="32"/>
        </w:rPr>
        <w:t>二、部门预算单位构成</w:t>
      </w:r>
    </w:p>
    <w:p w14:paraId="598464A7">
      <w:pPr>
        <w:ind w:firstLine="640" w:firstLineChars="200"/>
        <w:rPr>
          <w:rFonts w:ascii="Times New Roman" w:hAnsi="Times New Roman" w:eastAsia="仿宋_GB2312" w:cs="Times New Roman"/>
          <w:sz w:val="32"/>
          <w:szCs w:val="32"/>
        </w:rPr>
      </w:pPr>
      <w:r>
        <w:rPr>
          <w:rFonts w:hint="eastAsia" w:ascii="Times New Roman" w:hAnsi="Times New Roman" w:eastAsia="仿宋_GB2312" w:cs="仿宋_GB2312"/>
          <w:sz w:val="32"/>
          <w:szCs w:val="32"/>
        </w:rPr>
        <w:t>三、人员情况</w:t>
      </w:r>
    </w:p>
    <w:p w14:paraId="5B68827E">
      <w:pPr>
        <w:ind w:firstLine="640" w:firstLineChars="200"/>
        <w:rPr>
          <w:rFonts w:ascii="Times New Roman" w:hAnsi="Times New Roman" w:eastAsia="黑体" w:cs="Times New Roman"/>
          <w:sz w:val="32"/>
          <w:szCs w:val="32"/>
        </w:rPr>
      </w:pPr>
      <w:r>
        <w:rPr>
          <w:rFonts w:hint="eastAsia" w:ascii="Times New Roman" w:hAnsi="Times New Roman" w:eastAsia="黑体" w:cs="黑体"/>
          <w:sz w:val="32"/>
          <w:szCs w:val="32"/>
        </w:rPr>
        <w:t>第二部分</w:t>
      </w:r>
      <w:r>
        <w:rPr>
          <w:rFonts w:ascii="Times New Roman" w:hAnsi="Times New Roman" w:eastAsia="黑体" w:cs="Times New Roman"/>
          <w:sz w:val="32"/>
          <w:szCs w:val="32"/>
        </w:rPr>
        <w:t xml:space="preserve"> 2015</w:t>
      </w:r>
      <w:r>
        <w:rPr>
          <w:rFonts w:hint="eastAsia" w:ascii="Times New Roman" w:hAnsi="Times New Roman" w:eastAsia="黑体" w:cs="黑体"/>
          <w:sz w:val="32"/>
          <w:szCs w:val="32"/>
        </w:rPr>
        <w:t>年部门预算情况说明</w:t>
      </w:r>
    </w:p>
    <w:p w14:paraId="01321F04">
      <w:pPr>
        <w:ind w:firstLine="640" w:firstLineChars="200"/>
        <w:rPr>
          <w:rFonts w:ascii="Times New Roman" w:hAnsi="Times New Roman" w:eastAsia="仿宋_GB2312" w:cs="Times New Roman"/>
          <w:sz w:val="32"/>
          <w:szCs w:val="32"/>
        </w:rPr>
      </w:pPr>
      <w:r>
        <w:rPr>
          <w:rFonts w:hint="eastAsia" w:ascii="Times New Roman" w:hAnsi="Times New Roman" w:eastAsia="仿宋_GB2312" w:cs="仿宋_GB2312"/>
          <w:sz w:val="32"/>
          <w:szCs w:val="32"/>
        </w:rPr>
        <w:t>一、</w:t>
      </w:r>
      <w:r>
        <w:rPr>
          <w:rFonts w:ascii="Times New Roman" w:hAnsi="Times New Roman" w:eastAsia="仿宋_GB2312" w:cs="Times New Roman"/>
          <w:sz w:val="32"/>
          <w:szCs w:val="32"/>
        </w:rPr>
        <w:t>2015</w:t>
      </w:r>
      <w:r>
        <w:rPr>
          <w:rFonts w:hint="eastAsia" w:ascii="Times New Roman" w:hAnsi="Times New Roman" w:eastAsia="仿宋_GB2312" w:cs="仿宋_GB2312"/>
          <w:sz w:val="32"/>
          <w:szCs w:val="32"/>
        </w:rPr>
        <w:t>年财政拨款收支预算情况的说明</w:t>
      </w:r>
    </w:p>
    <w:p w14:paraId="4B44A5D6">
      <w:pPr>
        <w:ind w:firstLine="640" w:firstLineChars="200"/>
        <w:rPr>
          <w:rFonts w:ascii="Times New Roman" w:hAnsi="Times New Roman" w:eastAsia="仿宋_GB2312" w:cs="Times New Roman"/>
          <w:sz w:val="32"/>
          <w:szCs w:val="32"/>
        </w:rPr>
      </w:pPr>
      <w:r>
        <w:rPr>
          <w:rFonts w:hint="eastAsia" w:ascii="Times New Roman" w:hAnsi="Times New Roman" w:eastAsia="仿宋_GB2312" w:cs="仿宋_GB2312"/>
          <w:sz w:val="32"/>
          <w:szCs w:val="32"/>
        </w:rPr>
        <w:t>二、</w:t>
      </w:r>
      <w:r>
        <w:rPr>
          <w:rFonts w:ascii="Times New Roman" w:hAnsi="Times New Roman" w:eastAsia="仿宋_GB2312" w:cs="Times New Roman"/>
          <w:sz w:val="32"/>
          <w:szCs w:val="32"/>
        </w:rPr>
        <w:t>2015</w:t>
      </w:r>
      <w:r>
        <w:rPr>
          <w:rFonts w:hint="eastAsia" w:ascii="Times New Roman" w:hAnsi="Times New Roman" w:eastAsia="仿宋_GB2312" w:cs="仿宋_GB2312"/>
          <w:sz w:val="32"/>
          <w:szCs w:val="32"/>
        </w:rPr>
        <w:t>年一般公共预算</w:t>
      </w:r>
      <w:r>
        <w:rPr>
          <w:rFonts w:ascii="Times New Roman" w:hAnsi="Times New Roman" w:eastAsia="仿宋_GB2312" w:cs="Times New Roman"/>
          <w:sz w:val="32"/>
          <w:szCs w:val="32"/>
        </w:rPr>
        <w:t>“</w:t>
      </w:r>
      <w:r>
        <w:rPr>
          <w:rFonts w:hint="eastAsia" w:ascii="Times New Roman" w:hAnsi="Times New Roman" w:eastAsia="仿宋_GB2312" w:cs="仿宋_GB2312"/>
          <w:sz w:val="32"/>
          <w:szCs w:val="32"/>
        </w:rPr>
        <w:t>三公</w:t>
      </w:r>
      <w:r>
        <w:rPr>
          <w:rFonts w:ascii="Times New Roman" w:hAnsi="Times New Roman" w:eastAsia="仿宋_GB2312" w:cs="Times New Roman"/>
          <w:sz w:val="32"/>
          <w:szCs w:val="32"/>
        </w:rPr>
        <w:t>”</w:t>
      </w:r>
      <w:r>
        <w:rPr>
          <w:rFonts w:hint="eastAsia" w:ascii="Times New Roman" w:hAnsi="Times New Roman" w:eastAsia="仿宋_GB2312" w:cs="仿宋_GB2312"/>
          <w:sz w:val="32"/>
          <w:szCs w:val="32"/>
        </w:rPr>
        <w:t>经费预算情况说明</w:t>
      </w:r>
    </w:p>
    <w:p w14:paraId="4A594D03">
      <w:pPr>
        <w:ind w:firstLine="640" w:firstLineChars="200"/>
        <w:rPr>
          <w:rFonts w:ascii="Times New Roman" w:hAnsi="Times New Roman" w:eastAsia="黑体" w:cs="Times New Roman"/>
          <w:sz w:val="32"/>
          <w:szCs w:val="32"/>
        </w:rPr>
      </w:pPr>
      <w:r>
        <w:rPr>
          <w:rFonts w:hint="eastAsia" w:ascii="Times New Roman" w:hAnsi="Times New Roman" w:eastAsia="黑体" w:cs="黑体"/>
          <w:sz w:val="32"/>
          <w:szCs w:val="32"/>
        </w:rPr>
        <w:t>第三部分</w:t>
      </w:r>
      <w:r>
        <w:rPr>
          <w:rFonts w:ascii="Times New Roman" w:hAnsi="Times New Roman" w:eastAsia="黑体" w:cs="Times New Roman"/>
          <w:sz w:val="32"/>
          <w:szCs w:val="32"/>
        </w:rPr>
        <w:t xml:space="preserve"> 2015</w:t>
      </w:r>
      <w:r>
        <w:rPr>
          <w:rFonts w:hint="eastAsia" w:ascii="Times New Roman" w:hAnsi="Times New Roman" w:eastAsia="黑体" w:cs="黑体"/>
          <w:sz w:val="32"/>
          <w:szCs w:val="32"/>
        </w:rPr>
        <w:t>年部门预算表</w:t>
      </w:r>
    </w:p>
    <w:p w14:paraId="30633C41">
      <w:pPr>
        <w:ind w:firstLine="640" w:firstLineChars="200"/>
        <w:jc w:val="left"/>
        <w:rPr>
          <w:rFonts w:ascii="Times New Roman" w:hAnsi="Times New Roman" w:eastAsia="仿宋_GB2312" w:cs="Times New Roman"/>
          <w:sz w:val="32"/>
          <w:szCs w:val="32"/>
        </w:rPr>
      </w:pPr>
      <w:r>
        <w:rPr>
          <w:rFonts w:hint="eastAsia" w:ascii="Times New Roman" w:hAnsi="Times New Roman" w:eastAsia="仿宋_GB2312" w:cs="仿宋_GB2312"/>
          <w:sz w:val="32"/>
          <w:szCs w:val="32"/>
        </w:rPr>
        <w:t>一、财政拨款收支总表</w:t>
      </w:r>
    </w:p>
    <w:p w14:paraId="0BFC09B6">
      <w:pPr>
        <w:ind w:firstLine="640" w:firstLineChars="200"/>
        <w:jc w:val="left"/>
        <w:rPr>
          <w:rFonts w:ascii="Times New Roman" w:hAnsi="Times New Roman" w:eastAsia="仿宋_GB2312" w:cs="Times New Roman"/>
          <w:sz w:val="32"/>
          <w:szCs w:val="32"/>
        </w:rPr>
      </w:pPr>
      <w:r>
        <w:rPr>
          <w:rFonts w:hint="eastAsia" w:ascii="Times New Roman" w:hAnsi="Times New Roman" w:eastAsia="仿宋_GB2312" w:cs="仿宋_GB2312"/>
          <w:sz w:val="32"/>
          <w:szCs w:val="32"/>
        </w:rPr>
        <w:t>二、一般公共预算支出表</w:t>
      </w:r>
    </w:p>
    <w:p w14:paraId="235DE2A4">
      <w:pPr>
        <w:ind w:firstLine="640" w:firstLineChars="200"/>
        <w:jc w:val="left"/>
        <w:rPr>
          <w:rFonts w:ascii="Times New Roman" w:hAnsi="Times New Roman" w:eastAsia="仿宋_GB2312" w:cs="Times New Roman"/>
          <w:sz w:val="32"/>
          <w:szCs w:val="32"/>
        </w:rPr>
      </w:pPr>
      <w:r>
        <w:rPr>
          <w:rFonts w:hint="eastAsia" w:ascii="Times New Roman" w:hAnsi="Times New Roman" w:eastAsia="仿宋_GB2312" w:cs="仿宋_GB2312"/>
          <w:sz w:val="32"/>
          <w:szCs w:val="32"/>
        </w:rPr>
        <w:t>三、一般公共预算基本支出表</w:t>
      </w:r>
    </w:p>
    <w:p w14:paraId="0593ABC7">
      <w:pPr>
        <w:ind w:firstLine="640" w:firstLineChars="200"/>
        <w:jc w:val="left"/>
        <w:rPr>
          <w:rFonts w:ascii="Times New Roman" w:hAnsi="Times New Roman" w:eastAsia="仿宋_GB2312" w:cs="Times New Roman"/>
          <w:sz w:val="32"/>
          <w:szCs w:val="32"/>
        </w:rPr>
      </w:pPr>
      <w:r>
        <w:rPr>
          <w:rFonts w:hint="eastAsia" w:ascii="Times New Roman" w:hAnsi="Times New Roman" w:eastAsia="仿宋_GB2312" w:cs="仿宋_GB2312"/>
          <w:sz w:val="32"/>
          <w:szCs w:val="32"/>
        </w:rPr>
        <w:t>四、一般公共预算</w:t>
      </w:r>
      <w:r>
        <w:rPr>
          <w:rFonts w:ascii="Times New Roman" w:hAnsi="Times New Roman" w:eastAsia="仿宋_GB2312" w:cs="Times New Roman"/>
          <w:sz w:val="32"/>
          <w:szCs w:val="32"/>
        </w:rPr>
        <w:t>“</w:t>
      </w:r>
      <w:r>
        <w:rPr>
          <w:rFonts w:hint="eastAsia" w:ascii="Times New Roman" w:hAnsi="Times New Roman" w:eastAsia="仿宋_GB2312" w:cs="仿宋_GB2312"/>
          <w:sz w:val="32"/>
          <w:szCs w:val="32"/>
        </w:rPr>
        <w:t>三公</w:t>
      </w:r>
      <w:r>
        <w:rPr>
          <w:rFonts w:ascii="Times New Roman" w:hAnsi="Times New Roman" w:eastAsia="仿宋_GB2312" w:cs="Times New Roman"/>
          <w:sz w:val="32"/>
          <w:szCs w:val="32"/>
        </w:rPr>
        <w:t>”</w:t>
      </w:r>
      <w:r>
        <w:rPr>
          <w:rFonts w:hint="eastAsia" w:ascii="Times New Roman" w:hAnsi="Times New Roman" w:eastAsia="仿宋_GB2312" w:cs="仿宋_GB2312"/>
          <w:sz w:val="32"/>
          <w:szCs w:val="32"/>
        </w:rPr>
        <w:t>经费支出表</w:t>
      </w:r>
    </w:p>
    <w:p w14:paraId="0E4DC4A0">
      <w:pPr>
        <w:ind w:firstLine="640" w:firstLineChars="200"/>
        <w:jc w:val="left"/>
        <w:rPr>
          <w:rFonts w:ascii="Times New Roman" w:hAnsi="Times New Roman" w:eastAsia="仿宋_GB2312" w:cs="Times New Roman"/>
          <w:sz w:val="32"/>
          <w:szCs w:val="32"/>
        </w:rPr>
      </w:pPr>
      <w:r>
        <w:rPr>
          <w:rFonts w:hint="eastAsia" w:ascii="Times New Roman" w:hAnsi="Times New Roman" w:eastAsia="仿宋_GB2312" w:cs="仿宋_GB2312"/>
          <w:sz w:val="32"/>
          <w:szCs w:val="32"/>
        </w:rPr>
        <w:t>五、政府性基金预算支出表</w:t>
      </w:r>
    </w:p>
    <w:p w14:paraId="20F51B76">
      <w:pPr>
        <w:ind w:firstLine="640" w:firstLineChars="200"/>
        <w:jc w:val="left"/>
        <w:rPr>
          <w:rFonts w:ascii="Times New Roman" w:hAnsi="Times New Roman" w:eastAsia="仿宋_GB2312" w:cs="Times New Roman"/>
          <w:sz w:val="32"/>
          <w:szCs w:val="32"/>
        </w:rPr>
      </w:pPr>
      <w:r>
        <w:rPr>
          <w:rFonts w:hint="eastAsia" w:ascii="Times New Roman" w:hAnsi="Times New Roman" w:eastAsia="仿宋_GB2312" w:cs="仿宋_GB2312"/>
          <w:sz w:val="32"/>
          <w:szCs w:val="32"/>
        </w:rPr>
        <w:t>六、部门收支总表</w:t>
      </w:r>
    </w:p>
    <w:p w14:paraId="32293621">
      <w:pPr>
        <w:ind w:firstLine="640" w:firstLineChars="200"/>
        <w:jc w:val="left"/>
        <w:rPr>
          <w:rFonts w:ascii="Times New Roman" w:hAnsi="Times New Roman" w:eastAsia="仿宋_GB2312" w:cs="Times New Roman"/>
          <w:sz w:val="32"/>
          <w:szCs w:val="32"/>
        </w:rPr>
      </w:pPr>
      <w:r>
        <w:rPr>
          <w:rFonts w:hint="eastAsia" w:ascii="Times New Roman" w:hAnsi="Times New Roman" w:eastAsia="仿宋_GB2312" w:cs="仿宋_GB2312"/>
          <w:sz w:val="32"/>
          <w:szCs w:val="32"/>
        </w:rPr>
        <w:t>七、部门收入总表</w:t>
      </w:r>
    </w:p>
    <w:p w14:paraId="0F86B3A1">
      <w:pPr>
        <w:ind w:firstLine="640" w:firstLineChars="200"/>
        <w:jc w:val="left"/>
        <w:rPr>
          <w:rFonts w:ascii="Times New Roman" w:hAnsi="Times New Roman" w:eastAsia="仿宋_GB2312" w:cs="Times New Roman"/>
          <w:sz w:val="32"/>
          <w:szCs w:val="32"/>
        </w:rPr>
      </w:pPr>
      <w:r>
        <w:rPr>
          <w:rFonts w:hint="eastAsia" w:ascii="Times New Roman" w:hAnsi="Times New Roman" w:eastAsia="仿宋_GB2312" w:cs="仿宋_GB2312"/>
          <w:sz w:val="32"/>
          <w:szCs w:val="32"/>
        </w:rPr>
        <w:t>八、部门支出总表</w:t>
      </w:r>
    </w:p>
    <w:p w14:paraId="205FF5B2">
      <w:pPr>
        <w:ind w:firstLine="640" w:firstLineChars="200"/>
        <w:jc w:val="left"/>
        <w:rPr>
          <w:rFonts w:ascii="Times New Roman" w:hAnsi="Times New Roman" w:cs="Times New Roman"/>
          <w:sz w:val="32"/>
          <w:szCs w:val="32"/>
        </w:rPr>
      </w:pPr>
    </w:p>
    <w:p w14:paraId="47942C59">
      <w:pPr>
        <w:ind w:firstLine="640" w:firstLineChars="200"/>
        <w:jc w:val="left"/>
        <w:rPr>
          <w:rFonts w:ascii="Times New Roman" w:hAnsi="Times New Roman" w:cs="Times New Roman"/>
          <w:sz w:val="32"/>
          <w:szCs w:val="32"/>
        </w:rPr>
      </w:pPr>
    </w:p>
    <w:p w14:paraId="291B9C68">
      <w:pPr>
        <w:ind w:firstLine="640" w:firstLineChars="200"/>
        <w:jc w:val="left"/>
        <w:rPr>
          <w:rFonts w:ascii="Times New Roman" w:hAnsi="Times New Roman" w:cs="Times New Roman"/>
          <w:sz w:val="32"/>
          <w:szCs w:val="32"/>
        </w:rPr>
      </w:pPr>
    </w:p>
    <w:p w14:paraId="059B74A6">
      <w:pPr>
        <w:ind w:firstLine="640" w:firstLineChars="200"/>
        <w:jc w:val="left"/>
        <w:rPr>
          <w:rFonts w:ascii="Times New Roman" w:hAnsi="Times New Roman" w:cs="Times New Roman"/>
          <w:sz w:val="32"/>
          <w:szCs w:val="32"/>
        </w:rPr>
      </w:pPr>
    </w:p>
    <w:p w14:paraId="7FA503CB">
      <w:pPr>
        <w:ind w:firstLine="640" w:firstLineChars="200"/>
        <w:jc w:val="left"/>
        <w:rPr>
          <w:rFonts w:ascii="Times New Roman" w:hAnsi="Times New Roman" w:cs="Times New Roman"/>
          <w:sz w:val="32"/>
          <w:szCs w:val="32"/>
        </w:rPr>
      </w:pPr>
    </w:p>
    <w:p w14:paraId="2B4C3378">
      <w:pPr>
        <w:spacing w:line="600" w:lineRule="exact"/>
        <w:jc w:val="center"/>
        <w:rPr>
          <w:rFonts w:ascii="Times New Roman" w:hAnsi="Times New Roman" w:eastAsia="黑体" w:cs="Times New Roman"/>
          <w:sz w:val="32"/>
          <w:szCs w:val="32"/>
        </w:rPr>
      </w:pPr>
      <w:r>
        <w:rPr>
          <w:rFonts w:hint="eastAsia" w:ascii="Times New Roman" w:hAnsi="Times New Roman" w:eastAsia="黑体" w:cs="黑体"/>
          <w:sz w:val="32"/>
          <w:szCs w:val="32"/>
        </w:rPr>
        <w:t>第一部分</w:t>
      </w:r>
      <w:r>
        <w:rPr>
          <w:rFonts w:ascii="Times New Roman" w:hAnsi="Times New Roman" w:eastAsia="黑体" w:cs="Times New Roman"/>
          <w:sz w:val="32"/>
          <w:szCs w:val="32"/>
        </w:rPr>
        <w:t xml:space="preserve">  </w:t>
      </w:r>
      <w:r>
        <w:rPr>
          <w:rFonts w:hint="eastAsia" w:ascii="Times New Roman" w:hAnsi="Times New Roman" w:eastAsia="黑体" w:cs="黑体"/>
          <w:sz w:val="32"/>
          <w:szCs w:val="32"/>
        </w:rPr>
        <w:t>部门概况</w:t>
      </w:r>
    </w:p>
    <w:p w14:paraId="30A06508">
      <w:pPr>
        <w:spacing w:line="600" w:lineRule="exact"/>
        <w:ind w:firstLine="640" w:firstLineChars="200"/>
        <w:rPr>
          <w:rFonts w:ascii="Times New Roman" w:hAnsi="Times New Roman" w:eastAsia="黑体" w:cs="Times New Roman"/>
          <w:sz w:val="32"/>
          <w:szCs w:val="32"/>
        </w:rPr>
      </w:pPr>
      <w:r>
        <w:rPr>
          <w:rFonts w:hint="eastAsia" w:ascii="Times New Roman" w:hAnsi="Times New Roman" w:eastAsia="黑体" w:cs="黑体"/>
          <w:sz w:val="32"/>
          <w:szCs w:val="32"/>
        </w:rPr>
        <w:t>一、部门主要职责</w:t>
      </w:r>
    </w:p>
    <w:p w14:paraId="07099AF3">
      <w:pPr>
        <w:pStyle w:val="5"/>
        <w:spacing w:beforeAutospacing="0" w:afterAutospacing="0" w:line="600" w:lineRule="exact"/>
        <w:ind w:firstLine="640" w:firstLineChars="200"/>
        <w:jc w:val="both"/>
        <w:rPr>
          <w:rFonts w:ascii="Times New Roman" w:hAnsi="Times New Roman" w:eastAsia="仿宋_GB2312" w:cs="Times New Roman"/>
          <w:kern w:val="2"/>
          <w:sz w:val="32"/>
          <w:szCs w:val="32"/>
        </w:rPr>
      </w:pPr>
      <w:r>
        <w:rPr>
          <w:rFonts w:hint="eastAsia" w:ascii="Times New Roman" w:hAnsi="Times New Roman" w:eastAsia="仿宋_GB2312" w:cs="仿宋_GB2312"/>
          <w:kern w:val="2"/>
          <w:sz w:val="32"/>
          <w:szCs w:val="32"/>
        </w:rPr>
        <w:t>东莞市公安局主管全市公安工作的市人民政府组成部门，是全市公安人民警察的领导、指挥机关。主要职责是：</w:t>
      </w:r>
      <w:r>
        <w:rPr>
          <w:rFonts w:ascii="Times New Roman" w:hAnsi="Times New Roman" w:eastAsia="仿宋_GB2312" w:cs="Times New Roman"/>
          <w:kern w:val="2"/>
          <w:sz w:val="32"/>
          <w:szCs w:val="32"/>
        </w:rPr>
        <w:t xml:space="preserve"> </w:t>
      </w:r>
    </w:p>
    <w:p w14:paraId="1838CBF6">
      <w:pPr>
        <w:pStyle w:val="5"/>
        <w:spacing w:beforeAutospacing="0" w:afterAutospacing="0" w:line="600" w:lineRule="exact"/>
        <w:ind w:firstLine="480" w:firstLineChars="150"/>
        <w:jc w:val="both"/>
        <w:rPr>
          <w:rFonts w:ascii="Times New Roman" w:hAnsi="Times New Roman" w:eastAsia="仿宋_GB2312" w:cs="Times New Roman"/>
          <w:kern w:val="2"/>
          <w:sz w:val="32"/>
          <w:szCs w:val="32"/>
        </w:rPr>
      </w:pPr>
      <w:r>
        <w:rPr>
          <w:rFonts w:hint="eastAsia" w:ascii="Times New Roman" w:hAnsi="Times New Roman" w:eastAsia="仿宋_GB2312" w:cs="仿宋_GB2312"/>
          <w:kern w:val="2"/>
          <w:sz w:val="32"/>
          <w:szCs w:val="32"/>
        </w:rPr>
        <w:t>（一）贯彻执行国家和省有关公安工作的方针、政策和法律、法规，起草公安地方性规范性文件；部署、指导、落实全市的公安工作。</w:t>
      </w:r>
    </w:p>
    <w:p w14:paraId="2F12D1CB">
      <w:pPr>
        <w:pStyle w:val="5"/>
        <w:spacing w:beforeAutospacing="0" w:afterAutospacing="0" w:line="600" w:lineRule="exact"/>
        <w:ind w:firstLine="515" w:firstLineChars="161"/>
        <w:jc w:val="both"/>
        <w:rPr>
          <w:rFonts w:ascii="Times New Roman" w:hAnsi="Times New Roman" w:eastAsia="仿宋_GB2312" w:cs="Times New Roman"/>
          <w:kern w:val="2"/>
          <w:sz w:val="32"/>
          <w:szCs w:val="32"/>
        </w:rPr>
      </w:pPr>
      <w:r>
        <w:rPr>
          <w:rFonts w:hint="eastAsia" w:ascii="Times New Roman" w:hAnsi="Times New Roman" w:eastAsia="仿宋_GB2312" w:cs="仿宋_GB2312"/>
          <w:kern w:val="2"/>
          <w:sz w:val="32"/>
          <w:szCs w:val="32"/>
        </w:rPr>
        <w:t>（二）依法预防、制止和惩治违法犯罪活动，维护国家安全，维护社会治安秩序，掌握影响社会稳定、危害国家安全和社会治安的情况并提出对策。</w:t>
      </w:r>
    </w:p>
    <w:p w14:paraId="081EA301">
      <w:pPr>
        <w:pStyle w:val="5"/>
        <w:spacing w:beforeAutospacing="0" w:afterAutospacing="0" w:line="600" w:lineRule="exact"/>
        <w:ind w:firstLine="515" w:firstLineChars="161"/>
        <w:jc w:val="both"/>
        <w:rPr>
          <w:rFonts w:ascii="Times New Roman" w:hAnsi="Times New Roman" w:eastAsia="仿宋_GB2312" w:cs="Times New Roman"/>
          <w:kern w:val="2"/>
          <w:sz w:val="32"/>
          <w:szCs w:val="32"/>
        </w:rPr>
      </w:pPr>
      <w:r>
        <w:rPr>
          <w:rFonts w:hint="eastAsia" w:ascii="Times New Roman" w:hAnsi="Times New Roman" w:eastAsia="仿宋_GB2312" w:cs="仿宋_GB2312"/>
          <w:kern w:val="2"/>
          <w:sz w:val="32"/>
          <w:szCs w:val="32"/>
        </w:rPr>
        <w:t>（三）组织、指导全市公安机关侦查工作，协调处理或直接侦办重大刑事犯罪案件、国内危害国家安全的犯罪案件，负责侦办涉及全市的重大经济犯罪案件。</w:t>
      </w:r>
    </w:p>
    <w:p w14:paraId="41B1FB9B">
      <w:pPr>
        <w:pStyle w:val="5"/>
        <w:spacing w:beforeAutospacing="0" w:afterAutospacing="0" w:line="600" w:lineRule="exact"/>
        <w:ind w:firstLine="200"/>
        <w:jc w:val="both"/>
        <w:rPr>
          <w:rFonts w:ascii="Times New Roman" w:hAnsi="Times New Roman" w:eastAsia="仿宋_GB2312" w:cs="Times New Roman"/>
          <w:kern w:val="2"/>
          <w:sz w:val="32"/>
          <w:szCs w:val="32"/>
        </w:rPr>
      </w:pPr>
      <w:r>
        <w:rPr>
          <w:rFonts w:hint="eastAsia" w:ascii="Times New Roman" w:hAnsi="Times New Roman" w:eastAsia="仿宋_GB2312" w:cs="仿宋_GB2312"/>
          <w:kern w:val="2"/>
          <w:sz w:val="32"/>
          <w:szCs w:val="32"/>
        </w:rPr>
        <w:t>　（四）负责治安管理工作并承担相应责任。协调处置重大治安事件和群体性事件，指导、监督全市公安机关依法查处危害社会治安秩序行为，依法管理户政、出入境和外国人在东莞境内居留、旅行的有关工作。</w:t>
      </w:r>
    </w:p>
    <w:p w14:paraId="54B11F78">
      <w:pPr>
        <w:pStyle w:val="5"/>
        <w:spacing w:beforeAutospacing="0" w:afterAutospacing="0" w:line="600" w:lineRule="exact"/>
        <w:ind w:firstLine="200"/>
        <w:jc w:val="both"/>
        <w:rPr>
          <w:rFonts w:ascii="Times New Roman" w:hAnsi="Times New Roman" w:eastAsia="仿宋_GB2312" w:cs="Times New Roman"/>
          <w:kern w:val="2"/>
          <w:sz w:val="32"/>
          <w:szCs w:val="32"/>
        </w:rPr>
      </w:pPr>
      <w:r>
        <w:rPr>
          <w:rFonts w:hint="eastAsia" w:ascii="Times New Roman" w:hAnsi="Times New Roman" w:eastAsia="仿宋_GB2312" w:cs="仿宋_GB2312"/>
          <w:kern w:val="2"/>
          <w:sz w:val="32"/>
          <w:szCs w:val="32"/>
        </w:rPr>
        <w:t>　（五）依法管理枪支弹药、管制刀具、易燃易爆、剧毒、放射性等危险物品和特种行业。</w:t>
      </w:r>
    </w:p>
    <w:p w14:paraId="2CB05DDB">
      <w:pPr>
        <w:pStyle w:val="5"/>
        <w:spacing w:beforeAutospacing="0" w:afterAutospacing="0" w:line="600" w:lineRule="exact"/>
        <w:ind w:firstLine="200"/>
        <w:jc w:val="both"/>
        <w:rPr>
          <w:rFonts w:ascii="Times New Roman" w:hAnsi="Times New Roman" w:eastAsia="仿宋_GB2312" w:cs="Times New Roman"/>
          <w:kern w:val="2"/>
          <w:sz w:val="32"/>
          <w:szCs w:val="32"/>
        </w:rPr>
      </w:pPr>
      <w:r>
        <w:rPr>
          <w:rFonts w:hint="eastAsia" w:ascii="Times New Roman" w:hAnsi="Times New Roman" w:eastAsia="仿宋_GB2312" w:cs="仿宋_GB2312"/>
          <w:kern w:val="2"/>
          <w:sz w:val="32"/>
          <w:szCs w:val="32"/>
        </w:rPr>
        <w:t>　（六）指导并监督机关、团体、企事业单位的安全保卫工作和企事业单位保卫组织的建设；负责对保安服务实施监督管理和业务指导。</w:t>
      </w:r>
    </w:p>
    <w:p w14:paraId="0245991B">
      <w:pPr>
        <w:pStyle w:val="5"/>
        <w:spacing w:beforeAutospacing="0" w:afterAutospacing="0" w:line="600" w:lineRule="exact"/>
        <w:ind w:firstLine="200"/>
        <w:jc w:val="both"/>
        <w:rPr>
          <w:rFonts w:ascii="Times New Roman" w:hAnsi="Times New Roman" w:eastAsia="仿宋_GB2312" w:cs="Times New Roman"/>
          <w:kern w:val="2"/>
          <w:sz w:val="32"/>
          <w:szCs w:val="32"/>
        </w:rPr>
      </w:pPr>
      <w:r>
        <w:rPr>
          <w:rFonts w:hint="eastAsia" w:ascii="Times New Roman" w:hAnsi="Times New Roman" w:eastAsia="仿宋_GB2312" w:cs="仿宋_GB2312"/>
          <w:kern w:val="2"/>
          <w:sz w:val="32"/>
          <w:szCs w:val="32"/>
        </w:rPr>
        <w:t>　（七）负责全市道路交通安全管理工作并承担相应责任。维护全市道路交通安全和道路交通秩序，处理交通事故以及负责对机动车辆、驾驶人员的管理工作。</w:t>
      </w:r>
    </w:p>
    <w:p w14:paraId="70258F4C">
      <w:pPr>
        <w:pStyle w:val="5"/>
        <w:spacing w:beforeAutospacing="0" w:afterAutospacing="0" w:line="600" w:lineRule="exact"/>
        <w:ind w:firstLine="200"/>
        <w:jc w:val="both"/>
        <w:rPr>
          <w:rFonts w:ascii="Times New Roman" w:hAnsi="Times New Roman" w:eastAsia="仿宋_GB2312" w:cs="Times New Roman"/>
          <w:kern w:val="2"/>
          <w:sz w:val="32"/>
          <w:szCs w:val="32"/>
        </w:rPr>
      </w:pPr>
      <w:r>
        <w:rPr>
          <w:rFonts w:hint="eastAsia" w:ascii="Times New Roman" w:hAnsi="Times New Roman" w:eastAsia="仿宋_GB2312" w:cs="仿宋_GB2312"/>
          <w:kern w:val="2"/>
          <w:sz w:val="32"/>
          <w:szCs w:val="32"/>
        </w:rPr>
        <w:t>　（八）依法对涉毒案件进行侦查、打击工作，组织、指导禁毒宣传活动。</w:t>
      </w:r>
    </w:p>
    <w:p w14:paraId="796C4293">
      <w:pPr>
        <w:pStyle w:val="5"/>
        <w:spacing w:beforeAutospacing="0" w:afterAutospacing="0" w:line="600" w:lineRule="exact"/>
        <w:ind w:firstLine="200"/>
        <w:jc w:val="both"/>
        <w:rPr>
          <w:rFonts w:ascii="Times New Roman" w:hAnsi="Times New Roman" w:eastAsia="仿宋_GB2312" w:cs="Times New Roman"/>
          <w:kern w:val="2"/>
          <w:sz w:val="32"/>
          <w:szCs w:val="32"/>
        </w:rPr>
      </w:pPr>
      <w:r>
        <w:rPr>
          <w:rFonts w:hint="eastAsia" w:ascii="Times New Roman" w:hAnsi="Times New Roman" w:eastAsia="仿宋_GB2312" w:cs="仿宋_GB2312"/>
          <w:kern w:val="2"/>
          <w:sz w:val="32"/>
          <w:szCs w:val="32"/>
        </w:rPr>
        <w:t>　（九）负责对公共信息网络的安全监察及保护工作。</w:t>
      </w:r>
    </w:p>
    <w:p w14:paraId="3B58D86C">
      <w:pPr>
        <w:pStyle w:val="5"/>
        <w:spacing w:beforeAutospacing="0" w:afterAutospacing="0" w:line="600" w:lineRule="exact"/>
        <w:ind w:firstLine="200"/>
        <w:jc w:val="both"/>
        <w:rPr>
          <w:rFonts w:ascii="Times New Roman" w:hAnsi="Times New Roman" w:eastAsia="仿宋_GB2312" w:cs="Times New Roman"/>
          <w:kern w:val="2"/>
          <w:sz w:val="32"/>
          <w:szCs w:val="32"/>
        </w:rPr>
      </w:pPr>
      <w:r>
        <w:rPr>
          <w:rFonts w:hint="eastAsia" w:ascii="Times New Roman" w:hAnsi="Times New Roman" w:eastAsia="仿宋_GB2312" w:cs="仿宋_GB2312"/>
          <w:kern w:val="2"/>
          <w:sz w:val="32"/>
          <w:szCs w:val="32"/>
        </w:rPr>
        <w:t>　（十）指导、协调、组织对全市恐怖活动的防范、侦查工作，防范、处理邪教组织的违法犯罪活动。</w:t>
      </w:r>
    </w:p>
    <w:p w14:paraId="75E041E6">
      <w:pPr>
        <w:pStyle w:val="5"/>
        <w:spacing w:beforeAutospacing="0" w:afterAutospacing="0" w:line="600" w:lineRule="exact"/>
        <w:ind w:firstLine="200"/>
        <w:jc w:val="both"/>
        <w:rPr>
          <w:rFonts w:ascii="Times New Roman" w:hAnsi="Times New Roman" w:eastAsia="仿宋_GB2312" w:cs="Times New Roman"/>
          <w:kern w:val="2"/>
          <w:sz w:val="32"/>
          <w:szCs w:val="32"/>
        </w:rPr>
      </w:pPr>
      <w:r>
        <w:rPr>
          <w:rFonts w:hint="eastAsia" w:ascii="Times New Roman" w:hAnsi="Times New Roman" w:eastAsia="仿宋_GB2312" w:cs="仿宋_GB2312"/>
          <w:kern w:val="2"/>
          <w:sz w:val="32"/>
          <w:szCs w:val="32"/>
        </w:rPr>
        <w:t>　（十一）负责看守所、拘留所、强制隔离戒毒所、收教所的管理工作；承办劳动教养审批工作。</w:t>
      </w:r>
    </w:p>
    <w:p w14:paraId="3811E759">
      <w:pPr>
        <w:pStyle w:val="5"/>
        <w:spacing w:beforeAutospacing="0" w:afterAutospacing="0" w:line="600" w:lineRule="exact"/>
        <w:ind w:firstLine="200"/>
        <w:jc w:val="both"/>
        <w:rPr>
          <w:rFonts w:ascii="Times New Roman" w:hAnsi="Times New Roman" w:eastAsia="仿宋_GB2312" w:cs="Times New Roman"/>
          <w:kern w:val="2"/>
          <w:sz w:val="32"/>
          <w:szCs w:val="32"/>
        </w:rPr>
      </w:pPr>
      <w:r>
        <w:rPr>
          <w:rFonts w:hint="eastAsia" w:ascii="Times New Roman" w:hAnsi="Times New Roman" w:eastAsia="仿宋_GB2312" w:cs="仿宋_GB2312"/>
          <w:kern w:val="2"/>
          <w:sz w:val="32"/>
          <w:szCs w:val="32"/>
        </w:rPr>
        <w:t>　（十二）组织实施对来莞的党和国家领导人、重要外宾以及省主要领导的安全警卫工作。</w:t>
      </w:r>
    </w:p>
    <w:p w14:paraId="4A36D74F">
      <w:pPr>
        <w:pStyle w:val="5"/>
        <w:spacing w:beforeAutospacing="0" w:afterAutospacing="0" w:line="600" w:lineRule="exact"/>
        <w:ind w:firstLine="200"/>
        <w:jc w:val="both"/>
        <w:rPr>
          <w:rFonts w:ascii="Times New Roman" w:hAnsi="Times New Roman" w:eastAsia="仿宋_GB2312" w:cs="Times New Roman"/>
          <w:kern w:val="2"/>
          <w:sz w:val="32"/>
          <w:szCs w:val="32"/>
        </w:rPr>
      </w:pPr>
      <w:r>
        <w:rPr>
          <w:rFonts w:hint="eastAsia" w:ascii="Times New Roman" w:hAnsi="Times New Roman" w:eastAsia="仿宋_GB2312" w:cs="仿宋_GB2312"/>
          <w:kern w:val="2"/>
          <w:sz w:val="32"/>
          <w:szCs w:val="32"/>
        </w:rPr>
        <w:t>　（十三）组织公安科研工作；规划公安通讯、信息技术、刑事技术和技术侦察建设；为各级公安机关提供信息、技术、后勤装备等服务。</w:t>
      </w:r>
    </w:p>
    <w:p w14:paraId="2828259F">
      <w:pPr>
        <w:pStyle w:val="5"/>
        <w:spacing w:beforeAutospacing="0" w:afterAutospacing="0" w:line="600" w:lineRule="exact"/>
        <w:ind w:firstLine="200"/>
        <w:jc w:val="both"/>
        <w:rPr>
          <w:rFonts w:ascii="Times New Roman" w:hAnsi="Times New Roman" w:eastAsia="仿宋_GB2312" w:cs="Times New Roman"/>
          <w:kern w:val="2"/>
          <w:sz w:val="32"/>
          <w:szCs w:val="32"/>
        </w:rPr>
      </w:pPr>
      <w:r>
        <w:rPr>
          <w:rFonts w:hint="eastAsia" w:ascii="Times New Roman" w:hAnsi="Times New Roman" w:eastAsia="仿宋_GB2312" w:cs="仿宋_GB2312"/>
          <w:kern w:val="2"/>
          <w:sz w:val="32"/>
          <w:szCs w:val="32"/>
        </w:rPr>
        <w:t>　（十四）指导、检查、督促各级公安机关的执法活动；组织、指导公安机关督察工作；按规定权限实施对民警的监督；查处或督办公安队伍重大违纪案件。</w:t>
      </w:r>
    </w:p>
    <w:p w14:paraId="353A3B0C">
      <w:pPr>
        <w:pStyle w:val="5"/>
        <w:spacing w:beforeAutospacing="0" w:afterAutospacing="0" w:line="600" w:lineRule="exact"/>
        <w:ind w:firstLine="200"/>
        <w:jc w:val="both"/>
        <w:rPr>
          <w:rFonts w:ascii="Times New Roman" w:hAnsi="Times New Roman" w:eastAsia="仿宋_GB2312" w:cs="Times New Roman"/>
          <w:kern w:val="2"/>
          <w:sz w:val="32"/>
          <w:szCs w:val="32"/>
        </w:rPr>
      </w:pPr>
      <w:r>
        <w:rPr>
          <w:rFonts w:hint="eastAsia" w:ascii="Times New Roman" w:hAnsi="Times New Roman" w:eastAsia="仿宋_GB2312" w:cs="仿宋_GB2312"/>
          <w:kern w:val="2"/>
          <w:sz w:val="32"/>
          <w:szCs w:val="32"/>
        </w:rPr>
        <w:t>　（十五）负责公安机关组织建设和公安民警队伍建设，按规定权限管理干部；指导公安边防、消防、武警部队的建设、领导工作。</w:t>
      </w:r>
    </w:p>
    <w:p w14:paraId="2BC21E20">
      <w:pPr>
        <w:pStyle w:val="5"/>
        <w:spacing w:beforeAutospacing="0" w:afterAutospacing="0" w:line="600" w:lineRule="exact"/>
        <w:ind w:firstLine="200"/>
        <w:jc w:val="both"/>
        <w:rPr>
          <w:rFonts w:ascii="Times New Roman" w:hAnsi="Times New Roman" w:eastAsia="仿宋_GB2312" w:cs="Times New Roman"/>
          <w:kern w:val="2"/>
          <w:sz w:val="32"/>
          <w:szCs w:val="32"/>
        </w:rPr>
      </w:pPr>
      <w:r>
        <w:rPr>
          <w:rFonts w:hint="eastAsia" w:ascii="Times New Roman" w:hAnsi="Times New Roman" w:eastAsia="仿宋_GB2312" w:cs="仿宋_GB2312"/>
          <w:kern w:val="2"/>
          <w:sz w:val="32"/>
          <w:szCs w:val="32"/>
        </w:rPr>
        <w:t>　（十六）指导森林等部门的公安业务工作。</w:t>
      </w:r>
    </w:p>
    <w:p w14:paraId="25AF1BDA">
      <w:pPr>
        <w:pStyle w:val="5"/>
        <w:spacing w:beforeAutospacing="0" w:afterAutospacing="0" w:line="600" w:lineRule="exact"/>
        <w:ind w:firstLine="200"/>
        <w:jc w:val="both"/>
        <w:rPr>
          <w:rFonts w:ascii="Times New Roman" w:hAnsi="Times New Roman" w:eastAsia="仿宋_GB2312" w:cs="Times New Roman"/>
          <w:kern w:val="2"/>
          <w:sz w:val="32"/>
          <w:szCs w:val="32"/>
        </w:rPr>
      </w:pPr>
      <w:r>
        <w:rPr>
          <w:rFonts w:hint="eastAsia" w:ascii="Times New Roman" w:hAnsi="Times New Roman" w:eastAsia="仿宋_GB2312" w:cs="仿宋_GB2312"/>
          <w:kern w:val="2"/>
          <w:sz w:val="32"/>
          <w:szCs w:val="32"/>
        </w:rPr>
        <w:t>　（十七）依法进行消防监督；指导、协调全市公安应急抢险救援工作。</w:t>
      </w:r>
    </w:p>
    <w:p w14:paraId="58E40FDC">
      <w:pPr>
        <w:pStyle w:val="5"/>
        <w:spacing w:beforeAutospacing="0" w:afterAutospacing="0" w:line="600" w:lineRule="exact"/>
        <w:ind w:firstLine="200"/>
        <w:jc w:val="both"/>
        <w:rPr>
          <w:rFonts w:ascii="Times New Roman" w:hAnsi="Times New Roman" w:eastAsia="仿宋_GB2312" w:cs="Times New Roman"/>
          <w:kern w:val="2"/>
          <w:sz w:val="32"/>
          <w:szCs w:val="32"/>
        </w:rPr>
      </w:pPr>
      <w:r>
        <w:rPr>
          <w:rFonts w:hint="eastAsia" w:ascii="Times New Roman" w:hAnsi="Times New Roman" w:eastAsia="仿宋_GB2312" w:cs="仿宋_GB2312"/>
          <w:kern w:val="2"/>
          <w:sz w:val="32"/>
          <w:szCs w:val="32"/>
        </w:rPr>
        <w:t>　（十八）承办市委、市人民政府、上级公安机关交办的其他事项。</w:t>
      </w:r>
    </w:p>
    <w:p w14:paraId="2DA3CCF0">
      <w:pPr>
        <w:spacing w:line="600" w:lineRule="exact"/>
        <w:ind w:firstLine="640" w:firstLineChars="200"/>
        <w:rPr>
          <w:rFonts w:ascii="Times New Roman" w:hAnsi="Times New Roman" w:eastAsia="黑体" w:cs="Times New Roman"/>
          <w:sz w:val="32"/>
          <w:szCs w:val="32"/>
        </w:rPr>
      </w:pPr>
      <w:r>
        <w:rPr>
          <w:rFonts w:hint="eastAsia" w:ascii="Times New Roman" w:hAnsi="Times New Roman" w:eastAsia="黑体" w:cs="黑体"/>
          <w:sz w:val="32"/>
          <w:szCs w:val="32"/>
        </w:rPr>
        <w:t>二、部门预算单位构成</w:t>
      </w:r>
    </w:p>
    <w:p w14:paraId="0CB05D93">
      <w:pPr>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仿宋_GB2312"/>
          <w:sz w:val="32"/>
          <w:szCs w:val="32"/>
        </w:rPr>
        <w:t>东莞市公安局，正处级建制，属市政府工作部门，下属内设机构</w:t>
      </w:r>
      <w:r>
        <w:rPr>
          <w:rFonts w:ascii="Times New Roman" w:hAnsi="Times New Roman" w:eastAsia="仿宋_GB2312" w:cs="Times New Roman"/>
          <w:sz w:val="32"/>
          <w:szCs w:val="32"/>
        </w:rPr>
        <w:t>22</w:t>
      </w:r>
      <w:r>
        <w:rPr>
          <w:rFonts w:hint="eastAsia" w:ascii="Times New Roman" w:hAnsi="Times New Roman" w:eastAsia="仿宋_GB2312" w:cs="仿宋_GB2312"/>
          <w:sz w:val="32"/>
          <w:szCs w:val="32"/>
        </w:rPr>
        <w:t>个、直属机构</w:t>
      </w:r>
      <w:r>
        <w:rPr>
          <w:rFonts w:ascii="Times New Roman" w:hAnsi="Times New Roman" w:eastAsia="仿宋_GB2312" w:cs="Times New Roman"/>
          <w:sz w:val="32"/>
          <w:szCs w:val="32"/>
        </w:rPr>
        <w:t>4</w:t>
      </w:r>
      <w:r>
        <w:rPr>
          <w:rFonts w:hint="eastAsia" w:ascii="Times New Roman" w:hAnsi="Times New Roman" w:eastAsia="仿宋_GB2312" w:cs="仿宋_GB2312"/>
          <w:sz w:val="32"/>
          <w:szCs w:val="32"/>
        </w:rPr>
        <w:t>个，派出机构</w:t>
      </w:r>
      <w:r>
        <w:rPr>
          <w:rFonts w:ascii="Times New Roman" w:hAnsi="Times New Roman" w:eastAsia="仿宋_GB2312" w:cs="Times New Roman"/>
          <w:sz w:val="32"/>
          <w:szCs w:val="32"/>
        </w:rPr>
        <w:t>35</w:t>
      </w:r>
      <w:r>
        <w:rPr>
          <w:rFonts w:hint="eastAsia" w:ascii="Times New Roman" w:hAnsi="Times New Roman" w:eastAsia="仿宋_GB2312" w:cs="仿宋_GB2312"/>
          <w:sz w:val="32"/>
          <w:szCs w:val="32"/>
        </w:rPr>
        <w:t>个。</w:t>
      </w:r>
    </w:p>
    <w:p w14:paraId="01259A22">
      <w:pPr>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仿宋_GB2312"/>
          <w:sz w:val="32"/>
          <w:szCs w:val="32"/>
        </w:rPr>
        <w:t>本份部门预算仅包括</w:t>
      </w:r>
      <w:r>
        <w:rPr>
          <w:rFonts w:ascii="Times New Roman" w:hAnsi="Times New Roman" w:eastAsia="仿宋_GB2312" w:cs="Times New Roman"/>
          <w:sz w:val="32"/>
          <w:szCs w:val="32"/>
        </w:rPr>
        <w:t>22</w:t>
      </w:r>
      <w:r>
        <w:rPr>
          <w:rFonts w:hint="eastAsia" w:ascii="Times New Roman" w:hAnsi="Times New Roman" w:eastAsia="仿宋_GB2312" w:cs="仿宋_GB2312"/>
          <w:sz w:val="32"/>
          <w:szCs w:val="32"/>
        </w:rPr>
        <w:t>个内设机构的本级预算，本部门的直属机构及派出机构单独编列预算。</w:t>
      </w:r>
    </w:p>
    <w:p w14:paraId="6609D6DA">
      <w:pPr>
        <w:spacing w:line="600" w:lineRule="exact"/>
        <w:ind w:firstLine="640" w:firstLineChars="200"/>
        <w:rPr>
          <w:rFonts w:ascii="Times New Roman" w:hAnsi="Times New Roman" w:eastAsia="黑体" w:cs="Times New Roman"/>
          <w:sz w:val="32"/>
          <w:szCs w:val="32"/>
        </w:rPr>
      </w:pPr>
      <w:r>
        <w:rPr>
          <w:rFonts w:hint="eastAsia" w:ascii="Times New Roman" w:hAnsi="Times New Roman" w:eastAsia="黑体" w:cs="黑体"/>
          <w:sz w:val="32"/>
          <w:szCs w:val="32"/>
        </w:rPr>
        <w:t>三、人员情况</w:t>
      </w:r>
    </w:p>
    <w:p w14:paraId="7E27651E">
      <w:pPr>
        <w:spacing w:line="60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2015</w:t>
      </w:r>
      <w:r>
        <w:rPr>
          <w:rFonts w:hint="eastAsia" w:ascii="Times New Roman" w:hAnsi="Times New Roman" w:eastAsia="仿宋_GB2312" w:cs="仿宋_GB2312"/>
          <w:sz w:val="32"/>
          <w:szCs w:val="32"/>
        </w:rPr>
        <w:t>年，东莞市公安局共有行政编制数</w:t>
      </w:r>
      <w:r>
        <w:rPr>
          <w:rFonts w:ascii="Times New Roman" w:hAnsi="Times New Roman" w:eastAsia="仿宋_GB2312" w:cs="Times New Roman"/>
          <w:sz w:val="32"/>
          <w:szCs w:val="32"/>
        </w:rPr>
        <w:t>1241</w:t>
      </w:r>
      <w:r>
        <w:rPr>
          <w:rFonts w:hint="eastAsia" w:ascii="Times New Roman" w:hAnsi="Times New Roman" w:eastAsia="仿宋_GB2312" w:cs="仿宋_GB2312"/>
          <w:sz w:val="32"/>
          <w:szCs w:val="32"/>
        </w:rPr>
        <w:t>名，其中财政供养的编内实有在职人员</w:t>
      </w:r>
      <w:r>
        <w:rPr>
          <w:rFonts w:ascii="Times New Roman" w:hAnsi="Times New Roman" w:eastAsia="仿宋_GB2312" w:cs="Times New Roman"/>
          <w:sz w:val="32"/>
          <w:szCs w:val="32"/>
        </w:rPr>
        <w:t>1435</w:t>
      </w:r>
      <w:r>
        <w:rPr>
          <w:rFonts w:hint="eastAsia" w:ascii="Times New Roman" w:hAnsi="Times New Roman" w:eastAsia="仿宋_GB2312" w:cs="仿宋_GB2312"/>
          <w:sz w:val="32"/>
          <w:szCs w:val="32"/>
        </w:rPr>
        <w:t>人。另外，有离退休</w:t>
      </w:r>
      <w:r>
        <w:rPr>
          <w:rFonts w:ascii="Times New Roman" w:hAnsi="Times New Roman" w:eastAsia="仿宋_GB2312" w:cs="Times New Roman"/>
          <w:sz w:val="32"/>
          <w:szCs w:val="32"/>
        </w:rPr>
        <w:t>116</w:t>
      </w:r>
      <w:r>
        <w:rPr>
          <w:rFonts w:hint="eastAsia" w:ascii="Times New Roman" w:hAnsi="Times New Roman" w:eastAsia="仿宋_GB2312" w:cs="仿宋_GB2312"/>
          <w:sz w:val="32"/>
          <w:szCs w:val="32"/>
        </w:rPr>
        <w:t>人，聘用人员</w:t>
      </w:r>
      <w:r>
        <w:rPr>
          <w:rFonts w:ascii="Times New Roman" w:hAnsi="Times New Roman" w:eastAsia="仿宋_GB2312" w:cs="Times New Roman"/>
          <w:sz w:val="32"/>
          <w:szCs w:val="32"/>
        </w:rPr>
        <w:t>319</w:t>
      </w:r>
      <w:r>
        <w:rPr>
          <w:rFonts w:hint="eastAsia" w:ascii="Times New Roman" w:hAnsi="Times New Roman" w:eastAsia="仿宋_GB2312" w:cs="仿宋_GB2312"/>
          <w:sz w:val="32"/>
          <w:szCs w:val="32"/>
        </w:rPr>
        <w:t>人。</w:t>
      </w:r>
    </w:p>
    <w:p w14:paraId="4765A521">
      <w:pPr>
        <w:spacing w:line="600" w:lineRule="exact"/>
        <w:jc w:val="center"/>
        <w:rPr>
          <w:rFonts w:ascii="Times New Roman" w:hAnsi="Times New Roman" w:eastAsia="黑体" w:cs="Times New Roman"/>
          <w:sz w:val="32"/>
          <w:szCs w:val="32"/>
        </w:rPr>
      </w:pPr>
    </w:p>
    <w:p w14:paraId="133617E5">
      <w:pPr>
        <w:spacing w:line="600" w:lineRule="exact"/>
        <w:jc w:val="center"/>
        <w:rPr>
          <w:rFonts w:ascii="Times New Roman" w:hAnsi="Times New Roman" w:eastAsia="黑体" w:cs="Times New Roman"/>
          <w:sz w:val="32"/>
          <w:szCs w:val="32"/>
        </w:rPr>
      </w:pPr>
    </w:p>
    <w:p w14:paraId="646F6FDF">
      <w:pPr>
        <w:spacing w:line="600" w:lineRule="exact"/>
        <w:jc w:val="center"/>
        <w:rPr>
          <w:rFonts w:ascii="Times New Roman" w:hAnsi="Times New Roman" w:eastAsia="黑体" w:cs="Times New Roman"/>
          <w:sz w:val="32"/>
          <w:szCs w:val="32"/>
        </w:rPr>
      </w:pPr>
    </w:p>
    <w:p w14:paraId="703918CF">
      <w:pPr>
        <w:spacing w:line="600" w:lineRule="exact"/>
        <w:jc w:val="center"/>
        <w:rPr>
          <w:rFonts w:ascii="Times New Roman" w:hAnsi="Times New Roman" w:eastAsia="黑体" w:cs="Times New Roman"/>
          <w:sz w:val="32"/>
          <w:szCs w:val="32"/>
        </w:rPr>
      </w:pPr>
    </w:p>
    <w:p w14:paraId="5189D3FF">
      <w:pPr>
        <w:spacing w:line="600" w:lineRule="exact"/>
        <w:jc w:val="center"/>
        <w:rPr>
          <w:rFonts w:ascii="Times New Roman" w:hAnsi="Times New Roman" w:eastAsia="黑体" w:cs="Times New Roman"/>
          <w:sz w:val="32"/>
          <w:szCs w:val="32"/>
        </w:rPr>
      </w:pPr>
    </w:p>
    <w:p w14:paraId="2FDB953D">
      <w:pPr>
        <w:spacing w:line="600" w:lineRule="exact"/>
        <w:jc w:val="center"/>
        <w:rPr>
          <w:rFonts w:ascii="Times New Roman" w:hAnsi="Times New Roman" w:eastAsia="黑体" w:cs="Times New Roman"/>
          <w:sz w:val="32"/>
          <w:szCs w:val="32"/>
        </w:rPr>
      </w:pPr>
    </w:p>
    <w:p w14:paraId="2E4FCF2C">
      <w:pPr>
        <w:spacing w:line="600" w:lineRule="exact"/>
        <w:jc w:val="center"/>
        <w:rPr>
          <w:rFonts w:ascii="Times New Roman" w:hAnsi="Times New Roman" w:eastAsia="黑体" w:cs="Times New Roman"/>
          <w:sz w:val="32"/>
          <w:szCs w:val="32"/>
        </w:rPr>
      </w:pPr>
    </w:p>
    <w:p w14:paraId="0D048E5C">
      <w:pPr>
        <w:spacing w:line="600" w:lineRule="exact"/>
        <w:jc w:val="center"/>
        <w:rPr>
          <w:rFonts w:ascii="Times New Roman" w:hAnsi="Times New Roman" w:eastAsia="黑体" w:cs="Times New Roman"/>
          <w:sz w:val="32"/>
          <w:szCs w:val="32"/>
        </w:rPr>
      </w:pPr>
    </w:p>
    <w:p w14:paraId="3CA7384D">
      <w:pPr>
        <w:spacing w:line="600" w:lineRule="exact"/>
        <w:jc w:val="center"/>
        <w:rPr>
          <w:rFonts w:ascii="Times New Roman" w:hAnsi="Times New Roman" w:eastAsia="黑体" w:cs="Times New Roman"/>
          <w:sz w:val="32"/>
          <w:szCs w:val="32"/>
        </w:rPr>
      </w:pPr>
    </w:p>
    <w:p w14:paraId="102B1929">
      <w:pPr>
        <w:spacing w:line="600" w:lineRule="exact"/>
        <w:jc w:val="center"/>
        <w:rPr>
          <w:rFonts w:ascii="Times New Roman" w:hAnsi="Times New Roman" w:eastAsia="黑体" w:cs="Times New Roman"/>
          <w:sz w:val="32"/>
          <w:szCs w:val="32"/>
        </w:rPr>
      </w:pPr>
    </w:p>
    <w:p w14:paraId="094C7EA1">
      <w:pPr>
        <w:spacing w:line="600" w:lineRule="exact"/>
        <w:jc w:val="center"/>
        <w:rPr>
          <w:rFonts w:ascii="Times New Roman" w:hAnsi="Times New Roman" w:eastAsia="黑体" w:cs="Times New Roman"/>
          <w:sz w:val="32"/>
          <w:szCs w:val="32"/>
        </w:rPr>
      </w:pPr>
    </w:p>
    <w:p w14:paraId="66374CA3">
      <w:pPr>
        <w:spacing w:line="600" w:lineRule="exact"/>
        <w:jc w:val="center"/>
        <w:rPr>
          <w:rFonts w:ascii="Times New Roman" w:hAnsi="Times New Roman" w:eastAsia="黑体" w:cs="Times New Roman"/>
          <w:sz w:val="32"/>
          <w:szCs w:val="32"/>
        </w:rPr>
      </w:pPr>
    </w:p>
    <w:p w14:paraId="46EF1CE6">
      <w:pPr>
        <w:spacing w:line="600" w:lineRule="exact"/>
        <w:jc w:val="center"/>
        <w:rPr>
          <w:rFonts w:ascii="Times New Roman" w:hAnsi="Times New Roman" w:eastAsia="黑体" w:cs="Times New Roman"/>
          <w:sz w:val="32"/>
          <w:szCs w:val="32"/>
        </w:rPr>
      </w:pPr>
      <w:r>
        <w:rPr>
          <w:rFonts w:hint="eastAsia" w:ascii="Times New Roman" w:hAnsi="Times New Roman" w:eastAsia="黑体" w:cs="黑体"/>
          <w:sz w:val="32"/>
          <w:szCs w:val="32"/>
        </w:rPr>
        <w:t>第二部分</w:t>
      </w:r>
      <w:r>
        <w:rPr>
          <w:rFonts w:ascii="Times New Roman" w:hAnsi="Times New Roman" w:eastAsia="黑体" w:cs="Times New Roman"/>
          <w:sz w:val="32"/>
          <w:szCs w:val="32"/>
        </w:rPr>
        <w:t xml:space="preserve"> 2015</w:t>
      </w:r>
      <w:r>
        <w:rPr>
          <w:rFonts w:hint="eastAsia" w:ascii="Times New Roman" w:hAnsi="Times New Roman" w:eastAsia="黑体" w:cs="黑体"/>
          <w:sz w:val="32"/>
          <w:szCs w:val="32"/>
        </w:rPr>
        <w:t>年部门预算情况说明</w:t>
      </w:r>
    </w:p>
    <w:p w14:paraId="448F3E20">
      <w:pPr>
        <w:spacing w:line="600" w:lineRule="exact"/>
        <w:ind w:firstLine="640" w:firstLineChars="200"/>
        <w:rPr>
          <w:rFonts w:ascii="Times New Roman" w:hAnsi="Times New Roman" w:eastAsia="黑体" w:cs="Times New Roman"/>
          <w:sz w:val="32"/>
          <w:szCs w:val="32"/>
        </w:rPr>
      </w:pPr>
      <w:r>
        <w:rPr>
          <w:rFonts w:hint="eastAsia" w:ascii="Times New Roman" w:hAnsi="Times New Roman" w:eastAsia="黑体" w:cs="黑体"/>
          <w:sz w:val="32"/>
          <w:szCs w:val="32"/>
        </w:rPr>
        <w:t>一、</w:t>
      </w:r>
      <w:r>
        <w:rPr>
          <w:rFonts w:ascii="Times New Roman" w:hAnsi="Times New Roman" w:eastAsia="黑体" w:cs="Times New Roman"/>
          <w:sz w:val="32"/>
          <w:szCs w:val="32"/>
        </w:rPr>
        <w:t>2015</w:t>
      </w:r>
      <w:r>
        <w:rPr>
          <w:rFonts w:hint="eastAsia" w:ascii="Times New Roman" w:hAnsi="Times New Roman" w:eastAsia="黑体" w:cs="黑体"/>
          <w:sz w:val="32"/>
          <w:szCs w:val="32"/>
        </w:rPr>
        <w:t>年财政拨款收支预算情况的说明</w:t>
      </w:r>
    </w:p>
    <w:p w14:paraId="061252F7">
      <w:pPr>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仿宋_GB2312"/>
          <w:sz w:val="32"/>
          <w:szCs w:val="32"/>
        </w:rPr>
        <w:t>（一）总体说明</w:t>
      </w:r>
    </w:p>
    <w:p w14:paraId="0A0F6C4E">
      <w:pPr>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仿宋_GB2312"/>
          <w:sz w:val="32"/>
          <w:szCs w:val="32"/>
        </w:rPr>
        <w:t>本部门</w:t>
      </w:r>
      <w:r>
        <w:rPr>
          <w:rFonts w:ascii="Times New Roman" w:hAnsi="Times New Roman" w:eastAsia="仿宋_GB2312" w:cs="Times New Roman"/>
          <w:sz w:val="32"/>
          <w:szCs w:val="32"/>
        </w:rPr>
        <w:t>2015</w:t>
      </w:r>
      <w:r>
        <w:rPr>
          <w:rFonts w:hint="eastAsia" w:ascii="Times New Roman" w:hAnsi="Times New Roman" w:eastAsia="仿宋_GB2312" w:cs="仿宋_GB2312"/>
          <w:sz w:val="32"/>
          <w:szCs w:val="32"/>
        </w:rPr>
        <w:t>年财政拨款收支总预算</w:t>
      </w:r>
      <w:r>
        <w:rPr>
          <w:rFonts w:ascii="Times New Roman" w:hAnsi="Times New Roman" w:eastAsia="仿宋_GB2312" w:cs="Times New Roman"/>
          <w:sz w:val="32"/>
          <w:szCs w:val="32"/>
        </w:rPr>
        <w:t>86091.08</w:t>
      </w:r>
      <w:r>
        <w:rPr>
          <w:rFonts w:hint="eastAsia" w:ascii="Times New Roman" w:hAnsi="Times New Roman" w:eastAsia="仿宋_GB2312" w:cs="仿宋_GB2312"/>
          <w:sz w:val="32"/>
          <w:szCs w:val="32"/>
        </w:rPr>
        <w:t>万元。收入方面：一般公共预算财政拨款</w:t>
      </w:r>
      <w:r>
        <w:rPr>
          <w:rFonts w:ascii="Times New Roman" w:hAnsi="Times New Roman" w:eastAsia="仿宋_GB2312" w:cs="Times New Roman"/>
          <w:sz w:val="32"/>
          <w:szCs w:val="32"/>
        </w:rPr>
        <w:t>79645.39</w:t>
      </w:r>
      <w:r>
        <w:rPr>
          <w:rFonts w:hint="eastAsia" w:ascii="Times New Roman" w:hAnsi="Times New Roman" w:eastAsia="仿宋_GB2312" w:cs="仿宋_GB2312"/>
          <w:sz w:val="32"/>
          <w:szCs w:val="32"/>
        </w:rPr>
        <w:t>万元，其中，本年收入</w:t>
      </w:r>
      <w:r>
        <w:rPr>
          <w:rFonts w:ascii="Times New Roman" w:hAnsi="Times New Roman" w:eastAsia="仿宋_GB2312" w:cs="Times New Roman"/>
          <w:sz w:val="32"/>
          <w:szCs w:val="32"/>
        </w:rPr>
        <w:t>79645.39</w:t>
      </w:r>
      <w:r>
        <w:rPr>
          <w:rFonts w:hint="eastAsia" w:ascii="Times New Roman" w:hAnsi="Times New Roman" w:eastAsia="仿宋_GB2312" w:cs="仿宋_GB2312"/>
          <w:sz w:val="32"/>
          <w:szCs w:val="32"/>
        </w:rPr>
        <w:t>万元，年初结转</w:t>
      </w:r>
      <w:r>
        <w:rPr>
          <w:rFonts w:ascii="Times New Roman" w:hAnsi="Times New Roman" w:eastAsia="仿宋_GB2312" w:cs="Times New Roman"/>
          <w:sz w:val="32"/>
          <w:szCs w:val="32"/>
        </w:rPr>
        <w:t>6445.69</w:t>
      </w:r>
      <w:r>
        <w:rPr>
          <w:rFonts w:hint="eastAsia" w:ascii="Times New Roman" w:hAnsi="Times New Roman" w:eastAsia="仿宋_GB2312" w:cs="仿宋_GB2312"/>
          <w:sz w:val="32"/>
          <w:szCs w:val="32"/>
        </w:rPr>
        <w:t>万元。</w:t>
      </w:r>
    </w:p>
    <w:p w14:paraId="3F13971D">
      <w:pPr>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仿宋_GB2312"/>
          <w:sz w:val="32"/>
          <w:szCs w:val="32"/>
        </w:rPr>
        <w:t>（二）一般公共预算当年财政拨款情况说明</w:t>
      </w:r>
    </w:p>
    <w:p w14:paraId="519C8E58">
      <w:pPr>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仿宋_GB2312"/>
          <w:sz w:val="32"/>
          <w:szCs w:val="32"/>
        </w:rPr>
        <w:t>本部门</w:t>
      </w:r>
      <w:r>
        <w:rPr>
          <w:rFonts w:ascii="Times New Roman" w:hAnsi="Times New Roman" w:eastAsia="仿宋_GB2312" w:cs="Times New Roman"/>
          <w:sz w:val="32"/>
          <w:szCs w:val="32"/>
        </w:rPr>
        <w:t>2015</w:t>
      </w:r>
      <w:r>
        <w:rPr>
          <w:rFonts w:hint="eastAsia" w:ascii="Times New Roman" w:hAnsi="Times New Roman" w:eastAsia="仿宋_GB2312" w:cs="仿宋_GB2312"/>
          <w:sz w:val="32"/>
          <w:szCs w:val="32"/>
        </w:rPr>
        <w:t>年一般公共预算当年财政拨款</w:t>
      </w:r>
      <w:r>
        <w:rPr>
          <w:rFonts w:ascii="Times New Roman" w:hAnsi="Times New Roman" w:eastAsia="仿宋_GB2312" w:cs="Times New Roman"/>
          <w:sz w:val="32"/>
          <w:szCs w:val="32"/>
        </w:rPr>
        <w:t>79645.39</w:t>
      </w:r>
      <w:r>
        <w:rPr>
          <w:rFonts w:hint="eastAsia" w:ascii="Times New Roman" w:hAnsi="Times New Roman" w:eastAsia="仿宋_GB2312" w:cs="仿宋_GB2312"/>
          <w:sz w:val="32"/>
          <w:szCs w:val="32"/>
        </w:rPr>
        <w:t>万元。从一般公共预算当年财政拨款结构情况，一般公共服务支出</w:t>
      </w:r>
      <w:r>
        <w:rPr>
          <w:rFonts w:ascii="Times New Roman" w:hAnsi="Times New Roman" w:eastAsia="仿宋_GB2312" w:cs="Times New Roman"/>
          <w:sz w:val="32"/>
          <w:szCs w:val="32"/>
        </w:rPr>
        <w:t>78109.94</w:t>
      </w:r>
      <w:r>
        <w:rPr>
          <w:rFonts w:hint="eastAsia" w:ascii="Times New Roman" w:hAnsi="Times New Roman" w:eastAsia="仿宋_GB2312" w:cs="仿宋_GB2312"/>
          <w:sz w:val="32"/>
          <w:szCs w:val="32"/>
        </w:rPr>
        <w:t>万元，占</w:t>
      </w:r>
      <w:r>
        <w:rPr>
          <w:rFonts w:ascii="Times New Roman" w:hAnsi="Times New Roman" w:eastAsia="仿宋_GB2312" w:cs="Times New Roman"/>
          <w:sz w:val="32"/>
          <w:szCs w:val="32"/>
        </w:rPr>
        <w:t>98.1%</w:t>
      </w:r>
      <w:r>
        <w:rPr>
          <w:rFonts w:hint="eastAsia" w:ascii="Times New Roman" w:hAnsi="Times New Roman" w:eastAsia="仿宋_GB2312" w:cs="仿宋_GB2312"/>
          <w:sz w:val="32"/>
          <w:szCs w:val="32"/>
        </w:rPr>
        <w:t>；住房保障支出</w:t>
      </w:r>
      <w:r>
        <w:rPr>
          <w:rFonts w:ascii="Times New Roman" w:hAnsi="Times New Roman" w:eastAsia="仿宋_GB2312" w:cs="Times New Roman"/>
          <w:sz w:val="32"/>
          <w:szCs w:val="32"/>
        </w:rPr>
        <w:t>1535.45</w:t>
      </w:r>
      <w:r>
        <w:rPr>
          <w:rFonts w:hint="eastAsia" w:ascii="Times New Roman" w:hAnsi="Times New Roman" w:eastAsia="仿宋_GB2312" w:cs="仿宋_GB2312"/>
          <w:sz w:val="32"/>
          <w:szCs w:val="32"/>
        </w:rPr>
        <w:t>万元，占</w:t>
      </w:r>
      <w:r>
        <w:rPr>
          <w:rFonts w:ascii="Times New Roman" w:hAnsi="Times New Roman" w:eastAsia="仿宋_GB2312" w:cs="Times New Roman"/>
          <w:sz w:val="32"/>
          <w:szCs w:val="32"/>
        </w:rPr>
        <w:t>1.9%</w:t>
      </w:r>
      <w:r>
        <w:rPr>
          <w:rFonts w:hint="eastAsia" w:ascii="Times New Roman" w:hAnsi="Times New Roman" w:eastAsia="仿宋_GB2312" w:cs="仿宋_GB2312"/>
          <w:sz w:val="32"/>
          <w:szCs w:val="32"/>
        </w:rPr>
        <w:t>。</w:t>
      </w:r>
    </w:p>
    <w:p w14:paraId="0D8C0BA7">
      <w:pPr>
        <w:spacing w:line="600" w:lineRule="exact"/>
        <w:ind w:firstLine="640" w:firstLineChars="200"/>
        <w:rPr>
          <w:rFonts w:ascii="Times New Roman" w:hAnsi="Times New Roman" w:cs="Times New Roman"/>
          <w:sz w:val="32"/>
          <w:szCs w:val="32"/>
        </w:rPr>
      </w:pPr>
      <w:r>
        <w:rPr>
          <w:rFonts w:hint="eastAsia" w:ascii="Times New Roman" w:hAnsi="Times New Roman" w:eastAsia="黑体" w:cs="黑体"/>
          <w:sz w:val="32"/>
          <w:szCs w:val="32"/>
        </w:rPr>
        <w:t>二、</w:t>
      </w:r>
      <w:r>
        <w:rPr>
          <w:rFonts w:ascii="Times New Roman" w:hAnsi="Times New Roman" w:eastAsia="黑体" w:cs="Times New Roman"/>
          <w:sz w:val="32"/>
          <w:szCs w:val="32"/>
        </w:rPr>
        <w:t>2015</w:t>
      </w:r>
      <w:r>
        <w:rPr>
          <w:rFonts w:hint="eastAsia" w:ascii="Times New Roman" w:hAnsi="Times New Roman" w:eastAsia="黑体" w:cs="黑体"/>
          <w:sz w:val="32"/>
          <w:szCs w:val="32"/>
        </w:rPr>
        <w:t>年一般公共预算</w:t>
      </w:r>
      <w:r>
        <w:rPr>
          <w:rFonts w:ascii="Times New Roman" w:hAnsi="Times New Roman" w:eastAsia="黑体" w:cs="Times New Roman"/>
          <w:sz w:val="32"/>
          <w:szCs w:val="32"/>
        </w:rPr>
        <w:t>“</w:t>
      </w:r>
      <w:r>
        <w:rPr>
          <w:rFonts w:hint="eastAsia" w:ascii="Times New Roman" w:hAnsi="Times New Roman" w:eastAsia="黑体" w:cs="黑体"/>
          <w:sz w:val="32"/>
          <w:szCs w:val="32"/>
        </w:rPr>
        <w:t>三公</w:t>
      </w:r>
      <w:r>
        <w:rPr>
          <w:rFonts w:ascii="Times New Roman" w:hAnsi="Times New Roman" w:eastAsia="黑体" w:cs="Times New Roman"/>
          <w:sz w:val="32"/>
          <w:szCs w:val="32"/>
        </w:rPr>
        <w:t>”</w:t>
      </w:r>
      <w:r>
        <w:rPr>
          <w:rFonts w:hint="eastAsia" w:ascii="Times New Roman" w:hAnsi="Times New Roman" w:eastAsia="黑体" w:cs="黑体"/>
          <w:sz w:val="32"/>
          <w:szCs w:val="32"/>
        </w:rPr>
        <w:t>经费预算情况说明</w:t>
      </w:r>
    </w:p>
    <w:p w14:paraId="75E3842B">
      <w:pPr>
        <w:spacing w:line="600" w:lineRule="exact"/>
        <w:ind w:firstLine="640" w:firstLineChars="200"/>
        <w:rPr>
          <w:rFonts w:ascii="Times New Roman" w:hAnsi="Times New Roman" w:eastAsia="仿宋_GB2312" w:cs="Times New Roman"/>
          <w:sz w:val="32"/>
          <w:szCs w:val="32"/>
        </w:rPr>
      </w:pPr>
      <w:r>
        <w:rPr>
          <w:rFonts w:hint="eastAsia" w:ascii="Times New Roman" w:hAnsi="Times New Roman" w:eastAsia="仿宋_GB2312" w:cs="仿宋_GB2312"/>
          <w:sz w:val="32"/>
          <w:szCs w:val="32"/>
        </w:rPr>
        <w:t>本部门</w:t>
      </w:r>
      <w:r>
        <w:rPr>
          <w:rFonts w:ascii="Times New Roman" w:hAnsi="Times New Roman" w:eastAsia="仿宋_GB2312" w:cs="Times New Roman"/>
          <w:sz w:val="32"/>
          <w:szCs w:val="32"/>
        </w:rPr>
        <w:t>2015</w:t>
      </w:r>
      <w:r>
        <w:rPr>
          <w:rFonts w:hint="eastAsia" w:ascii="Times New Roman" w:hAnsi="Times New Roman" w:eastAsia="仿宋_GB2312" w:cs="仿宋_GB2312"/>
          <w:sz w:val="32"/>
          <w:szCs w:val="32"/>
        </w:rPr>
        <w:t>年</w:t>
      </w:r>
      <w:r>
        <w:rPr>
          <w:rFonts w:ascii="Times New Roman" w:hAnsi="Times New Roman" w:eastAsia="仿宋_GB2312" w:cs="Times New Roman"/>
          <w:sz w:val="32"/>
          <w:szCs w:val="32"/>
        </w:rPr>
        <w:t>“</w:t>
      </w:r>
      <w:r>
        <w:rPr>
          <w:rFonts w:hint="eastAsia" w:ascii="Times New Roman" w:hAnsi="Times New Roman" w:eastAsia="仿宋_GB2312" w:cs="仿宋_GB2312"/>
          <w:sz w:val="32"/>
          <w:szCs w:val="32"/>
        </w:rPr>
        <w:t>三公</w:t>
      </w:r>
      <w:r>
        <w:rPr>
          <w:rFonts w:ascii="Times New Roman" w:hAnsi="Times New Roman" w:eastAsia="仿宋_GB2312" w:cs="Times New Roman"/>
          <w:sz w:val="32"/>
          <w:szCs w:val="32"/>
        </w:rPr>
        <w:t>”</w:t>
      </w:r>
      <w:r>
        <w:rPr>
          <w:rFonts w:hint="eastAsia" w:ascii="Times New Roman" w:hAnsi="Times New Roman" w:eastAsia="仿宋_GB2312" w:cs="仿宋_GB2312"/>
          <w:sz w:val="32"/>
          <w:szCs w:val="32"/>
        </w:rPr>
        <w:t>经费预算数为</w:t>
      </w:r>
      <w:r>
        <w:rPr>
          <w:rFonts w:ascii="Times New Roman" w:hAnsi="Times New Roman" w:eastAsia="仿宋_GB2312" w:cs="Times New Roman"/>
          <w:sz w:val="32"/>
          <w:szCs w:val="32"/>
        </w:rPr>
        <w:t>1628</w:t>
      </w:r>
      <w:r>
        <w:rPr>
          <w:rFonts w:hint="eastAsia" w:ascii="Times New Roman" w:hAnsi="Times New Roman" w:eastAsia="仿宋_GB2312" w:cs="仿宋_GB2312"/>
          <w:sz w:val="32"/>
          <w:szCs w:val="32"/>
        </w:rPr>
        <w:t>万元，其中：因公出国（境）费用</w:t>
      </w:r>
      <w:r>
        <w:rPr>
          <w:rFonts w:ascii="Times New Roman" w:hAnsi="Times New Roman" w:eastAsia="仿宋_GB2312" w:cs="Times New Roman"/>
          <w:sz w:val="32"/>
          <w:szCs w:val="32"/>
        </w:rPr>
        <w:t>9</w:t>
      </w:r>
      <w:r>
        <w:rPr>
          <w:rFonts w:hint="eastAsia" w:ascii="Times New Roman" w:hAnsi="Times New Roman" w:eastAsia="仿宋_GB2312" w:cs="仿宋_GB2312"/>
          <w:sz w:val="32"/>
          <w:szCs w:val="32"/>
        </w:rPr>
        <w:t>万元，公车购置费</w:t>
      </w:r>
      <w:r>
        <w:rPr>
          <w:rFonts w:ascii="Times New Roman" w:hAnsi="Times New Roman" w:eastAsia="仿宋_GB2312" w:cs="Times New Roman"/>
          <w:sz w:val="32"/>
          <w:szCs w:val="32"/>
        </w:rPr>
        <w:t>0</w:t>
      </w:r>
      <w:r>
        <w:rPr>
          <w:rFonts w:hint="eastAsia" w:ascii="Times New Roman" w:hAnsi="Times New Roman" w:eastAsia="仿宋_GB2312" w:cs="仿宋_GB2312"/>
          <w:sz w:val="32"/>
          <w:szCs w:val="32"/>
        </w:rPr>
        <w:t>万元，公车运行维护费</w:t>
      </w:r>
      <w:r>
        <w:rPr>
          <w:rFonts w:ascii="Times New Roman" w:hAnsi="Times New Roman" w:eastAsia="仿宋_GB2312" w:cs="Times New Roman"/>
          <w:sz w:val="32"/>
          <w:szCs w:val="32"/>
        </w:rPr>
        <w:t>1450</w:t>
      </w:r>
      <w:r>
        <w:rPr>
          <w:rFonts w:hint="eastAsia" w:ascii="Times New Roman" w:hAnsi="Times New Roman" w:eastAsia="仿宋_GB2312" w:cs="仿宋_GB2312"/>
          <w:sz w:val="32"/>
          <w:szCs w:val="32"/>
        </w:rPr>
        <w:t>万元，公务接待费</w:t>
      </w:r>
      <w:r>
        <w:rPr>
          <w:rFonts w:ascii="Times New Roman" w:hAnsi="Times New Roman" w:eastAsia="仿宋_GB2312" w:cs="Times New Roman"/>
          <w:sz w:val="32"/>
          <w:szCs w:val="32"/>
        </w:rPr>
        <w:t>169</w:t>
      </w:r>
      <w:r>
        <w:rPr>
          <w:rFonts w:hint="eastAsia" w:ascii="Times New Roman" w:hAnsi="Times New Roman" w:eastAsia="仿宋_GB2312" w:cs="仿宋_GB2312"/>
          <w:sz w:val="32"/>
          <w:szCs w:val="32"/>
        </w:rPr>
        <w:t>万元。本部门</w:t>
      </w:r>
      <w:r>
        <w:rPr>
          <w:rFonts w:ascii="Times New Roman" w:hAnsi="Times New Roman" w:eastAsia="仿宋_GB2312" w:cs="Times New Roman"/>
          <w:sz w:val="32"/>
          <w:szCs w:val="32"/>
        </w:rPr>
        <w:t>2015</w:t>
      </w:r>
      <w:r>
        <w:rPr>
          <w:rFonts w:hint="eastAsia" w:ascii="Times New Roman" w:hAnsi="Times New Roman" w:eastAsia="仿宋_GB2312" w:cs="仿宋_GB2312"/>
          <w:sz w:val="32"/>
          <w:szCs w:val="32"/>
        </w:rPr>
        <w:t>年计划出国组团数</w:t>
      </w:r>
      <w:r>
        <w:rPr>
          <w:rFonts w:ascii="Times New Roman" w:hAnsi="Times New Roman" w:eastAsia="仿宋_GB2312" w:cs="Times New Roman"/>
          <w:sz w:val="32"/>
          <w:szCs w:val="32"/>
        </w:rPr>
        <w:t>2</w:t>
      </w:r>
      <w:r>
        <w:rPr>
          <w:rFonts w:hint="eastAsia" w:ascii="Times New Roman" w:hAnsi="Times New Roman" w:eastAsia="仿宋_GB2312" w:cs="仿宋_GB2312"/>
          <w:sz w:val="32"/>
          <w:szCs w:val="32"/>
        </w:rPr>
        <w:t>个，</w:t>
      </w:r>
      <w:r>
        <w:rPr>
          <w:rFonts w:ascii="Times New Roman" w:hAnsi="Times New Roman" w:eastAsia="仿宋_GB2312" w:cs="Times New Roman"/>
          <w:sz w:val="32"/>
          <w:szCs w:val="32"/>
        </w:rPr>
        <w:t>2</w:t>
      </w:r>
      <w:r>
        <w:rPr>
          <w:rFonts w:hint="eastAsia" w:ascii="Times New Roman" w:hAnsi="Times New Roman" w:eastAsia="仿宋_GB2312" w:cs="仿宋_GB2312"/>
          <w:sz w:val="32"/>
          <w:szCs w:val="32"/>
        </w:rPr>
        <w:t>人次，无计划购置公车，公车保有数为</w:t>
      </w:r>
      <w:r>
        <w:rPr>
          <w:rFonts w:ascii="Times New Roman" w:hAnsi="Times New Roman" w:eastAsia="仿宋_GB2312" w:cs="Times New Roman"/>
          <w:sz w:val="32"/>
          <w:szCs w:val="32"/>
        </w:rPr>
        <w:t>407</w:t>
      </w:r>
      <w:r>
        <w:rPr>
          <w:rFonts w:hint="eastAsia" w:ascii="Times New Roman" w:hAnsi="Times New Roman" w:eastAsia="仿宋_GB2312" w:cs="仿宋_GB2312"/>
          <w:sz w:val="32"/>
          <w:szCs w:val="32"/>
        </w:rPr>
        <w:t>辆。</w:t>
      </w:r>
    </w:p>
    <w:p w14:paraId="3EF38E64">
      <w:pPr>
        <w:spacing w:line="60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2015</w:t>
      </w:r>
      <w:r>
        <w:rPr>
          <w:rFonts w:hint="eastAsia" w:ascii="Times New Roman" w:hAnsi="Times New Roman" w:eastAsia="仿宋_GB2312" w:cs="仿宋_GB2312"/>
          <w:sz w:val="32"/>
          <w:szCs w:val="32"/>
        </w:rPr>
        <w:t>年</w:t>
      </w:r>
      <w:r>
        <w:rPr>
          <w:rFonts w:ascii="Times New Roman" w:hAnsi="Times New Roman" w:eastAsia="仿宋_GB2312" w:cs="Times New Roman"/>
          <w:sz w:val="32"/>
          <w:szCs w:val="32"/>
        </w:rPr>
        <w:t>“</w:t>
      </w:r>
      <w:r>
        <w:rPr>
          <w:rFonts w:hint="eastAsia" w:ascii="Times New Roman" w:hAnsi="Times New Roman" w:eastAsia="仿宋_GB2312" w:cs="仿宋_GB2312"/>
          <w:sz w:val="32"/>
          <w:szCs w:val="32"/>
        </w:rPr>
        <w:t>三公</w:t>
      </w:r>
      <w:r>
        <w:rPr>
          <w:rFonts w:ascii="Times New Roman" w:hAnsi="Times New Roman" w:eastAsia="仿宋_GB2312" w:cs="Times New Roman"/>
          <w:sz w:val="32"/>
          <w:szCs w:val="32"/>
        </w:rPr>
        <w:t>”</w:t>
      </w:r>
      <w:r>
        <w:rPr>
          <w:rFonts w:hint="eastAsia" w:ascii="Times New Roman" w:hAnsi="Times New Roman" w:eastAsia="仿宋_GB2312" w:cs="仿宋_GB2312"/>
          <w:sz w:val="32"/>
          <w:szCs w:val="32"/>
        </w:rPr>
        <w:t>经费预算比</w:t>
      </w:r>
      <w:r>
        <w:rPr>
          <w:rFonts w:ascii="Times New Roman" w:hAnsi="Times New Roman" w:eastAsia="仿宋_GB2312" w:cs="Times New Roman"/>
          <w:sz w:val="32"/>
          <w:szCs w:val="32"/>
        </w:rPr>
        <w:t>2014</w:t>
      </w:r>
      <w:r>
        <w:rPr>
          <w:rFonts w:hint="eastAsia" w:ascii="Times New Roman" w:hAnsi="Times New Roman" w:eastAsia="仿宋_GB2312" w:cs="仿宋_GB2312"/>
          <w:sz w:val="32"/>
          <w:szCs w:val="32"/>
        </w:rPr>
        <w:t>年</w:t>
      </w:r>
      <w:r>
        <w:rPr>
          <w:rFonts w:ascii="Times New Roman" w:hAnsi="Times New Roman" w:eastAsia="仿宋_GB2312" w:cs="Times New Roman"/>
          <w:sz w:val="32"/>
          <w:szCs w:val="32"/>
        </w:rPr>
        <w:t>“</w:t>
      </w:r>
      <w:r>
        <w:rPr>
          <w:rFonts w:hint="eastAsia" w:ascii="Times New Roman" w:hAnsi="Times New Roman" w:eastAsia="仿宋_GB2312" w:cs="仿宋_GB2312"/>
          <w:sz w:val="32"/>
          <w:szCs w:val="32"/>
        </w:rPr>
        <w:t>三公</w:t>
      </w:r>
      <w:r>
        <w:rPr>
          <w:rFonts w:ascii="Times New Roman" w:hAnsi="Times New Roman" w:eastAsia="仿宋_GB2312" w:cs="Times New Roman"/>
          <w:sz w:val="32"/>
          <w:szCs w:val="32"/>
        </w:rPr>
        <w:t>”</w:t>
      </w:r>
      <w:r>
        <w:rPr>
          <w:rFonts w:hint="eastAsia" w:ascii="Times New Roman" w:hAnsi="Times New Roman" w:eastAsia="仿宋_GB2312" w:cs="仿宋_GB2312"/>
          <w:sz w:val="32"/>
          <w:szCs w:val="32"/>
        </w:rPr>
        <w:t>经费预算减少</w:t>
      </w:r>
      <w:r>
        <w:rPr>
          <w:rFonts w:ascii="Times New Roman" w:hAnsi="Times New Roman" w:eastAsia="仿宋_GB2312" w:cs="Times New Roman"/>
          <w:sz w:val="32"/>
          <w:szCs w:val="32"/>
        </w:rPr>
        <w:t>297</w:t>
      </w:r>
      <w:r>
        <w:rPr>
          <w:rFonts w:hint="eastAsia" w:ascii="Times New Roman" w:hAnsi="Times New Roman" w:eastAsia="仿宋_GB2312" w:cs="仿宋_GB2312"/>
          <w:sz w:val="32"/>
          <w:szCs w:val="32"/>
        </w:rPr>
        <w:t>万元，其中：因公出国（境）费用减少</w:t>
      </w:r>
      <w:r>
        <w:rPr>
          <w:rFonts w:ascii="Times New Roman" w:hAnsi="Times New Roman" w:eastAsia="仿宋_GB2312" w:cs="Times New Roman"/>
          <w:sz w:val="32"/>
          <w:szCs w:val="32"/>
        </w:rPr>
        <w:t>0.3</w:t>
      </w:r>
      <w:r>
        <w:rPr>
          <w:rFonts w:hint="eastAsia" w:ascii="Times New Roman" w:hAnsi="Times New Roman" w:eastAsia="仿宋_GB2312" w:cs="仿宋_GB2312"/>
          <w:sz w:val="32"/>
          <w:szCs w:val="32"/>
        </w:rPr>
        <w:t>万元；公车购置费减少</w:t>
      </w:r>
      <w:r>
        <w:rPr>
          <w:rFonts w:ascii="Times New Roman" w:hAnsi="Times New Roman" w:eastAsia="仿宋_GB2312" w:cs="Times New Roman"/>
          <w:sz w:val="32"/>
          <w:szCs w:val="32"/>
        </w:rPr>
        <w:t>150</w:t>
      </w:r>
      <w:r>
        <w:rPr>
          <w:rFonts w:hint="eastAsia" w:ascii="Times New Roman" w:hAnsi="Times New Roman" w:eastAsia="仿宋_GB2312" w:cs="仿宋_GB2312"/>
          <w:sz w:val="32"/>
          <w:szCs w:val="32"/>
        </w:rPr>
        <w:t>万元；公车运行维护费减少</w:t>
      </w:r>
      <w:r>
        <w:rPr>
          <w:rFonts w:ascii="Times New Roman" w:hAnsi="Times New Roman" w:eastAsia="仿宋_GB2312" w:cs="Times New Roman"/>
          <w:sz w:val="32"/>
          <w:szCs w:val="32"/>
        </w:rPr>
        <w:t>128</w:t>
      </w:r>
      <w:r>
        <w:rPr>
          <w:rFonts w:hint="eastAsia" w:ascii="Times New Roman" w:hAnsi="Times New Roman" w:eastAsia="仿宋_GB2312" w:cs="仿宋_GB2312"/>
          <w:sz w:val="32"/>
          <w:szCs w:val="32"/>
        </w:rPr>
        <w:t>万元；公务接待费减少</w:t>
      </w:r>
      <w:r>
        <w:rPr>
          <w:rFonts w:ascii="Times New Roman" w:hAnsi="Times New Roman" w:eastAsia="仿宋_GB2312" w:cs="Times New Roman"/>
          <w:sz w:val="32"/>
          <w:szCs w:val="32"/>
        </w:rPr>
        <w:t>19</w:t>
      </w:r>
      <w:r>
        <w:rPr>
          <w:rFonts w:hint="eastAsia" w:ascii="Times New Roman" w:hAnsi="Times New Roman" w:eastAsia="仿宋_GB2312" w:cs="仿宋_GB2312"/>
          <w:sz w:val="32"/>
          <w:szCs w:val="32"/>
        </w:rPr>
        <w:t>万元。</w:t>
      </w:r>
    </w:p>
    <w:p w14:paraId="326A70D0">
      <w:pPr>
        <w:spacing w:line="60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 xml:space="preserve"> 2015</w:t>
      </w:r>
      <w:r>
        <w:rPr>
          <w:rFonts w:hint="eastAsia" w:ascii="Times New Roman" w:hAnsi="Times New Roman" w:eastAsia="仿宋_GB2312" w:cs="仿宋_GB2312"/>
          <w:sz w:val="32"/>
          <w:szCs w:val="32"/>
        </w:rPr>
        <w:t>年度</w:t>
      </w:r>
      <w:r>
        <w:rPr>
          <w:rFonts w:ascii="Times New Roman" w:hAnsi="Times New Roman" w:eastAsia="仿宋_GB2312" w:cs="Times New Roman"/>
          <w:sz w:val="32"/>
          <w:szCs w:val="32"/>
        </w:rPr>
        <w:t>“</w:t>
      </w:r>
      <w:r>
        <w:rPr>
          <w:rFonts w:hint="eastAsia" w:ascii="Times New Roman" w:hAnsi="Times New Roman" w:eastAsia="仿宋_GB2312" w:cs="仿宋_GB2312"/>
          <w:sz w:val="32"/>
          <w:szCs w:val="32"/>
        </w:rPr>
        <w:t>三公</w:t>
      </w:r>
      <w:r>
        <w:rPr>
          <w:rFonts w:ascii="Times New Roman" w:hAnsi="Times New Roman" w:eastAsia="仿宋_GB2312" w:cs="Times New Roman"/>
          <w:sz w:val="32"/>
          <w:szCs w:val="32"/>
        </w:rPr>
        <w:t>”</w:t>
      </w:r>
      <w:r>
        <w:rPr>
          <w:rFonts w:hint="eastAsia" w:ascii="Times New Roman" w:hAnsi="Times New Roman" w:eastAsia="仿宋_GB2312" w:cs="仿宋_GB2312"/>
          <w:sz w:val="32"/>
          <w:szCs w:val="32"/>
        </w:rPr>
        <w:t>经费预算少于</w:t>
      </w:r>
      <w:r>
        <w:rPr>
          <w:rFonts w:ascii="Times New Roman" w:hAnsi="Times New Roman" w:eastAsia="仿宋_GB2312" w:cs="Times New Roman"/>
          <w:sz w:val="32"/>
          <w:szCs w:val="32"/>
        </w:rPr>
        <w:t>2014</w:t>
      </w:r>
      <w:r>
        <w:rPr>
          <w:rFonts w:hint="eastAsia" w:ascii="Times New Roman" w:hAnsi="Times New Roman" w:eastAsia="仿宋_GB2312" w:cs="仿宋_GB2312"/>
          <w:sz w:val="32"/>
          <w:szCs w:val="32"/>
        </w:rPr>
        <w:t>年度预算的主要原因是：我局在预算执行的过程中认真贯彻落实中央关于厉行节约的各项要求和中央八项规定，切实采取措施严格控制和压缩</w:t>
      </w:r>
      <w:r>
        <w:rPr>
          <w:rFonts w:ascii="Times New Roman" w:hAnsi="Times New Roman" w:eastAsia="仿宋_GB2312" w:cs="Times New Roman"/>
          <w:sz w:val="32"/>
          <w:szCs w:val="32"/>
        </w:rPr>
        <w:t>“</w:t>
      </w:r>
      <w:r>
        <w:rPr>
          <w:rFonts w:hint="eastAsia" w:ascii="Times New Roman" w:hAnsi="Times New Roman" w:eastAsia="仿宋_GB2312" w:cs="仿宋_GB2312"/>
          <w:sz w:val="32"/>
          <w:szCs w:val="32"/>
        </w:rPr>
        <w:t>三公</w:t>
      </w:r>
      <w:r>
        <w:rPr>
          <w:rFonts w:ascii="Times New Roman" w:hAnsi="Times New Roman" w:eastAsia="仿宋_GB2312" w:cs="Times New Roman"/>
          <w:sz w:val="32"/>
          <w:szCs w:val="32"/>
        </w:rPr>
        <w:t>”</w:t>
      </w:r>
      <w:r>
        <w:rPr>
          <w:rFonts w:hint="eastAsia" w:ascii="Times New Roman" w:hAnsi="Times New Roman" w:eastAsia="仿宋_GB2312" w:cs="仿宋_GB2312"/>
          <w:sz w:val="32"/>
          <w:szCs w:val="32"/>
        </w:rPr>
        <w:t>经费预算，本年度</w:t>
      </w:r>
      <w:r>
        <w:rPr>
          <w:rFonts w:ascii="Times New Roman" w:hAnsi="Times New Roman" w:eastAsia="仿宋_GB2312" w:cs="Times New Roman"/>
          <w:sz w:val="32"/>
          <w:szCs w:val="32"/>
        </w:rPr>
        <w:t>“</w:t>
      </w:r>
      <w:bookmarkStart w:id="0" w:name="_GoBack"/>
      <w:bookmarkEnd w:id="0"/>
      <w:r>
        <w:rPr>
          <w:rFonts w:hint="eastAsia" w:ascii="Times New Roman" w:hAnsi="Times New Roman" w:eastAsia="仿宋_GB2312" w:cs="仿宋_GB2312"/>
          <w:sz w:val="32"/>
          <w:szCs w:val="32"/>
        </w:rPr>
        <w:t>三公</w:t>
      </w:r>
      <w:r>
        <w:rPr>
          <w:rFonts w:ascii="Times New Roman" w:hAnsi="Times New Roman" w:eastAsia="仿宋_GB2312" w:cs="Times New Roman"/>
          <w:sz w:val="32"/>
          <w:szCs w:val="32"/>
        </w:rPr>
        <w:t>”</w:t>
      </w:r>
      <w:r>
        <w:rPr>
          <w:rFonts w:hint="eastAsia" w:ascii="Times New Roman" w:hAnsi="Times New Roman" w:eastAsia="仿宋_GB2312" w:cs="仿宋_GB2312"/>
          <w:sz w:val="32"/>
          <w:szCs w:val="32"/>
        </w:rPr>
        <w:t>经费预算比去年预算有所节约。</w:t>
      </w:r>
    </w:p>
    <w:p w14:paraId="6E097DDE">
      <w:pPr>
        <w:ind w:firstLine="640" w:firstLineChars="200"/>
        <w:rPr>
          <w:rFonts w:ascii="Times New Roman" w:hAnsi="Times New Roman" w:eastAsia="仿宋_GB2312" w:cs="Times New Roman"/>
          <w:sz w:val="32"/>
          <w:szCs w:val="32"/>
        </w:rPr>
      </w:pPr>
    </w:p>
    <w:p w14:paraId="372AA335">
      <w:pPr>
        <w:rPr>
          <w:rFonts w:ascii="Times New Roman" w:hAnsi="Times New Roman" w:eastAsia="黑体" w:cs="Times New Roman"/>
          <w:sz w:val="32"/>
          <w:szCs w:val="32"/>
        </w:rPr>
      </w:pPr>
    </w:p>
    <w:p w14:paraId="48BC6AB2">
      <w:pPr>
        <w:jc w:val="center"/>
        <w:rPr>
          <w:rFonts w:ascii="Times New Roman" w:hAnsi="Times New Roman" w:eastAsia="黑体" w:cs="Times New Roman"/>
          <w:sz w:val="32"/>
          <w:szCs w:val="32"/>
        </w:rPr>
      </w:pPr>
    </w:p>
    <w:p w14:paraId="0BEE8D55">
      <w:pPr>
        <w:jc w:val="center"/>
        <w:rPr>
          <w:rFonts w:ascii="Times New Roman" w:hAnsi="Times New Roman" w:eastAsia="黑体" w:cs="Times New Roman"/>
          <w:sz w:val="32"/>
          <w:szCs w:val="32"/>
        </w:rPr>
      </w:pPr>
    </w:p>
    <w:p w14:paraId="43036821">
      <w:pPr>
        <w:jc w:val="center"/>
        <w:rPr>
          <w:rFonts w:ascii="Times New Roman" w:hAnsi="Times New Roman" w:eastAsia="黑体" w:cs="Times New Roman"/>
          <w:sz w:val="32"/>
          <w:szCs w:val="32"/>
        </w:rPr>
      </w:pPr>
    </w:p>
    <w:p w14:paraId="38122A38">
      <w:pPr>
        <w:jc w:val="center"/>
        <w:rPr>
          <w:rFonts w:ascii="Times New Roman" w:hAnsi="Times New Roman" w:eastAsia="黑体" w:cs="Times New Roman"/>
          <w:sz w:val="32"/>
          <w:szCs w:val="32"/>
        </w:rPr>
      </w:pPr>
    </w:p>
    <w:p w14:paraId="0403FFD3">
      <w:pPr>
        <w:jc w:val="center"/>
        <w:rPr>
          <w:rFonts w:ascii="Times New Roman" w:hAnsi="Times New Roman" w:eastAsia="黑体" w:cs="Times New Roman"/>
          <w:sz w:val="32"/>
          <w:szCs w:val="32"/>
        </w:rPr>
      </w:pPr>
    </w:p>
    <w:p w14:paraId="641C7168">
      <w:pPr>
        <w:jc w:val="center"/>
        <w:rPr>
          <w:rFonts w:ascii="Times New Roman" w:hAnsi="Times New Roman" w:eastAsia="黑体" w:cs="Times New Roman"/>
          <w:sz w:val="32"/>
          <w:szCs w:val="32"/>
        </w:rPr>
      </w:pPr>
    </w:p>
    <w:p w14:paraId="43CCBB9C">
      <w:pPr>
        <w:jc w:val="center"/>
        <w:rPr>
          <w:rFonts w:ascii="Times New Roman" w:hAnsi="Times New Roman" w:eastAsia="黑体" w:cs="Times New Roman"/>
          <w:sz w:val="32"/>
          <w:szCs w:val="32"/>
        </w:rPr>
      </w:pPr>
    </w:p>
    <w:p w14:paraId="33B54DCF">
      <w:pPr>
        <w:jc w:val="center"/>
        <w:rPr>
          <w:rFonts w:ascii="Times New Roman" w:hAnsi="Times New Roman" w:eastAsia="黑体" w:cs="Times New Roman"/>
          <w:sz w:val="32"/>
          <w:szCs w:val="32"/>
        </w:rPr>
      </w:pPr>
    </w:p>
    <w:p w14:paraId="5246E792">
      <w:pPr>
        <w:jc w:val="center"/>
        <w:rPr>
          <w:rFonts w:ascii="Times New Roman" w:hAnsi="Times New Roman" w:eastAsia="黑体" w:cs="Times New Roman"/>
          <w:sz w:val="32"/>
          <w:szCs w:val="32"/>
        </w:rPr>
      </w:pPr>
    </w:p>
    <w:p w14:paraId="4E2C2853">
      <w:pPr>
        <w:jc w:val="center"/>
        <w:rPr>
          <w:rFonts w:ascii="Times New Roman" w:hAnsi="Times New Roman" w:eastAsia="黑体" w:cs="Times New Roman"/>
          <w:sz w:val="32"/>
          <w:szCs w:val="32"/>
        </w:rPr>
      </w:pPr>
    </w:p>
    <w:p w14:paraId="076F7A18">
      <w:pPr>
        <w:jc w:val="center"/>
        <w:rPr>
          <w:rFonts w:ascii="Times New Roman" w:hAnsi="Times New Roman" w:eastAsia="黑体" w:cs="Times New Roman"/>
          <w:sz w:val="32"/>
          <w:szCs w:val="32"/>
        </w:rPr>
      </w:pPr>
    </w:p>
    <w:p w14:paraId="4EBF5036">
      <w:pPr>
        <w:jc w:val="center"/>
        <w:rPr>
          <w:rFonts w:ascii="Times New Roman" w:hAnsi="Times New Roman" w:eastAsia="黑体" w:cs="Times New Roman"/>
          <w:sz w:val="32"/>
          <w:szCs w:val="32"/>
        </w:rPr>
      </w:pPr>
    </w:p>
    <w:p w14:paraId="106A1E02">
      <w:pPr>
        <w:jc w:val="center"/>
        <w:rPr>
          <w:rFonts w:ascii="Times New Roman" w:hAnsi="Times New Roman" w:eastAsia="黑体" w:cs="Times New Roman"/>
          <w:sz w:val="32"/>
          <w:szCs w:val="32"/>
        </w:rPr>
      </w:pPr>
    </w:p>
    <w:p w14:paraId="6C84F465">
      <w:pPr>
        <w:jc w:val="center"/>
        <w:rPr>
          <w:rFonts w:ascii="Times New Roman" w:hAnsi="Times New Roman" w:eastAsia="黑体" w:cs="Times New Roman"/>
          <w:sz w:val="32"/>
          <w:szCs w:val="32"/>
        </w:rPr>
      </w:pPr>
    </w:p>
    <w:p w14:paraId="4A76B16F">
      <w:pPr>
        <w:jc w:val="center"/>
        <w:rPr>
          <w:rFonts w:ascii="Times New Roman" w:hAnsi="Times New Roman" w:eastAsia="黑体" w:cs="Times New Roman"/>
          <w:sz w:val="32"/>
          <w:szCs w:val="32"/>
        </w:rPr>
      </w:pPr>
    </w:p>
    <w:p w14:paraId="6544E406">
      <w:pPr>
        <w:jc w:val="center"/>
        <w:rPr>
          <w:rFonts w:ascii="Times New Roman" w:hAnsi="Times New Roman" w:eastAsia="黑体" w:cs="Times New Roman"/>
          <w:sz w:val="32"/>
          <w:szCs w:val="32"/>
        </w:rPr>
      </w:pPr>
    </w:p>
    <w:p w14:paraId="432E9F15">
      <w:pPr>
        <w:jc w:val="center"/>
        <w:rPr>
          <w:rFonts w:ascii="Times New Roman" w:hAnsi="Times New Roman" w:eastAsia="黑体" w:cs="Times New Roman"/>
          <w:sz w:val="32"/>
          <w:szCs w:val="32"/>
        </w:rPr>
      </w:pPr>
    </w:p>
    <w:p w14:paraId="6CBC1B5D">
      <w:pPr>
        <w:jc w:val="center"/>
        <w:rPr>
          <w:rFonts w:ascii="Times New Roman" w:hAnsi="Times New Roman" w:eastAsia="黑体" w:cs="Times New Roman"/>
          <w:sz w:val="32"/>
          <w:szCs w:val="32"/>
        </w:rPr>
      </w:pPr>
    </w:p>
    <w:p w14:paraId="70300370">
      <w:pPr>
        <w:jc w:val="center"/>
        <w:rPr>
          <w:rFonts w:ascii="Times New Roman" w:hAnsi="Times New Roman" w:eastAsia="黑体" w:cs="Times New Roman"/>
          <w:sz w:val="32"/>
          <w:szCs w:val="32"/>
        </w:rPr>
      </w:pPr>
      <w:r>
        <w:rPr>
          <w:rFonts w:hint="eastAsia" w:ascii="Times New Roman" w:hAnsi="Times New Roman" w:eastAsia="黑体" w:cs="黑体"/>
          <w:sz w:val="32"/>
          <w:szCs w:val="32"/>
        </w:rPr>
        <w:t>第三部分</w:t>
      </w:r>
      <w:r>
        <w:rPr>
          <w:rFonts w:ascii="Times New Roman" w:hAnsi="Times New Roman" w:eastAsia="黑体" w:cs="Times New Roman"/>
          <w:sz w:val="32"/>
          <w:szCs w:val="32"/>
        </w:rPr>
        <w:t xml:space="preserve"> 2015</w:t>
      </w:r>
      <w:r>
        <w:rPr>
          <w:rFonts w:hint="eastAsia" w:ascii="Times New Roman" w:hAnsi="Times New Roman" w:eastAsia="黑体" w:cs="黑体"/>
          <w:sz w:val="32"/>
          <w:szCs w:val="32"/>
        </w:rPr>
        <w:t>年部门预算表</w:t>
      </w:r>
    </w:p>
    <w:p w14:paraId="50E20F56">
      <w:pPr>
        <w:ind w:firstLine="640" w:firstLineChars="200"/>
        <w:jc w:val="left"/>
        <w:rPr>
          <w:rFonts w:ascii="Times New Roman" w:hAnsi="Times New Roman" w:cs="Times New Roman"/>
          <w:sz w:val="32"/>
          <w:szCs w:val="32"/>
        </w:rPr>
      </w:pPr>
      <w:r>
        <w:rPr>
          <w:rFonts w:hint="eastAsia" w:ascii="Times New Roman" w:hAnsi="宋体" w:cs="宋体"/>
          <w:sz w:val="32"/>
          <w:szCs w:val="32"/>
        </w:rPr>
        <w:t>详见预算表</w:t>
      </w:r>
      <w:r>
        <w:rPr>
          <w:rFonts w:ascii="Times New Roman" w:hAnsi="Times New Roman" w:cs="Times New Roman"/>
          <w:sz w:val="32"/>
          <w:szCs w:val="32"/>
        </w:rPr>
        <w:t>1-8</w:t>
      </w:r>
      <w:r>
        <w:rPr>
          <w:rFonts w:hint="eastAsia" w:ascii="Times New Roman" w:hAnsi="宋体" w:cs="宋体"/>
          <w:sz w:val="32"/>
          <w:szCs w:val="32"/>
        </w:rPr>
        <w:t>，请参见附件。</w:t>
      </w:r>
    </w:p>
    <w:tbl>
      <w:tblPr>
        <w:tblStyle w:val="6"/>
        <w:tblW w:w="8522" w:type="dxa"/>
        <w:tblInd w:w="-1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1"/>
        <w:gridCol w:w="6571"/>
      </w:tblGrid>
      <w:tr w14:paraId="452C2E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51" w:type="dxa"/>
          </w:tcPr>
          <w:p w14:paraId="4FA62C39">
            <w:pPr>
              <w:jc w:val="center"/>
              <w:rPr>
                <w:rFonts w:ascii="Times New Roman" w:hAnsi="Times New Roman" w:cs="Times New Roman"/>
                <w:sz w:val="32"/>
                <w:szCs w:val="32"/>
              </w:rPr>
            </w:pPr>
            <w:r>
              <w:rPr>
                <w:rFonts w:hint="eastAsia" w:ascii="Times New Roman" w:hAnsi="宋体" w:cs="宋体"/>
                <w:sz w:val="32"/>
                <w:szCs w:val="32"/>
              </w:rPr>
              <w:t>表号</w:t>
            </w:r>
          </w:p>
        </w:tc>
        <w:tc>
          <w:tcPr>
            <w:tcW w:w="6571" w:type="dxa"/>
          </w:tcPr>
          <w:p w14:paraId="3B83ACF1">
            <w:pPr>
              <w:jc w:val="center"/>
              <w:rPr>
                <w:rFonts w:ascii="Times New Roman" w:hAnsi="Times New Roman" w:cs="Times New Roman"/>
                <w:sz w:val="32"/>
                <w:szCs w:val="32"/>
              </w:rPr>
            </w:pPr>
            <w:r>
              <w:rPr>
                <w:rFonts w:hint="eastAsia" w:ascii="Times New Roman" w:hAnsi="宋体" w:cs="宋体"/>
                <w:sz w:val="32"/>
                <w:szCs w:val="32"/>
              </w:rPr>
              <w:t>表名</w:t>
            </w:r>
          </w:p>
        </w:tc>
      </w:tr>
      <w:tr w14:paraId="7D0D46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51" w:type="dxa"/>
          </w:tcPr>
          <w:p w14:paraId="0A034602">
            <w:pPr>
              <w:jc w:val="center"/>
              <w:rPr>
                <w:rFonts w:ascii="Times New Roman" w:hAnsi="Times New Roman" w:eastAsia="仿宋_GB2312" w:cs="Times New Roman"/>
                <w:sz w:val="32"/>
                <w:szCs w:val="32"/>
              </w:rPr>
            </w:pPr>
            <w:r>
              <w:rPr>
                <w:rFonts w:hint="eastAsia" w:ascii="Times New Roman" w:hAnsi="Times New Roman" w:eastAsia="仿宋_GB2312" w:cs="仿宋_GB2312"/>
                <w:sz w:val="32"/>
                <w:szCs w:val="32"/>
              </w:rPr>
              <w:t>预算表</w:t>
            </w:r>
            <w:r>
              <w:rPr>
                <w:rFonts w:ascii="Times New Roman" w:hAnsi="Times New Roman" w:eastAsia="仿宋_GB2312" w:cs="Times New Roman"/>
                <w:sz w:val="32"/>
                <w:szCs w:val="32"/>
              </w:rPr>
              <w:t>1</w:t>
            </w:r>
          </w:p>
        </w:tc>
        <w:tc>
          <w:tcPr>
            <w:tcW w:w="6571" w:type="dxa"/>
          </w:tcPr>
          <w:p w14:paraId="69B17AA8">
            <w:pPr>
              <w:jc w:val="left"/>
              <w:rPr>
                <w:rFonts w:ascii="Times New Roman" w:hAnsi="Times New Roman" w:eastAsia="仿宋_GB2312" w:cs="Times New Roman"/>
                <w:sz w:val="32"/>
                <w:szCs w:val="32"/>
              </w:rPr>
            </w:pPr>
            <w:r>
              <w:rPr>
                <w:rFonts w:hint="eastAsia" w:ascii="Times New Roman" w:hAnsi="Times New Roman" w:eastAsia="仿宋_GB2312" w:cs="仿宋_GB2312"/>
                <w:sz w:val="32"/>
                <w:szCs w:val="32"/>
              </w:rPr>
              <w:t>财政拨款收支总表</w:t>
            </w:r>
          </w:p>
        </w:tc>
      </w:tr>
      <w:tr w14:paraId="4F7B99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51" w:type="dxa"/>
          </w:tcPr>
          <w:p w14:paraId="1F596087">
            <w:pPr>
              <w:jc w:val="center"/>
              <w:rPr>
                <w:rFonts w:ascii="Times New Roman" w:hAnsi="Times New Roman" w:eastAsia="仿宋_GB2312" w:cs="Times New Roman"/>
                <w:sz w:val="32"/>
                <w:szCs w:val="32"/>
              </w:rPr>
            </w:pPr>
            <w:r>
              <w:rPr>
                <w:rFonts w:hint="eastAsia" w:ascii="Times New Roman" w:hAnsi="Times New Roman" w:eastAsia="仿宋_GB2312" w:cs="仿宋_GB2312"/>
                <w:sz w:val="32"/>
                <w:szCs w:val="32"/>
              </w:rPr>
              <w:t>预算表</w:t>
            </w:r>
            <w:r>
              <w:rPr>
                <w:rFonts w:ascii="Times New Roman" w:hAnsi="Times New Roman" w:eastAsia="仿宋_GB2312" w:cs="Times New Roman"/>
                <w:sz w:val="32"/>
                <w:szCs w:val="32"/>
              </w:rPr>
              <w:t>2</w:t>
            </w:r>
          </w:p>
        </w:tc>
        <w:tc>
          <w:tcPr>
            <w:tcW w:w="6571" w:type="dxa"/>
          </w:tcPr>
          <w:p w14:paraId="46198D4C">
            <w:pPr>
              <w:jc w:val="left"/>
              <w:rPr>
                <w:rFonts w:ascii="Times New Roman" w:hAnsi="Times New Roman" w:eastAsia="仿宋_GB2312" w:cs="Times New Roman"/>
                <w:sz w:val="32"/>
                <w:szCs w:val="32"/>
              </w:rPr>
            </w:pPr>
            <w:r>
              <w:rPr>
                <w:rFonts w:hint="eastAsia" w:ascii="Times New Roman" w:hAnsi="Times New Roman" w:eastAsia="仿宋_GB2312" w:cs="仿宋_GB2312"/>
                <w:sz w:val="32"/>
                <w:szCs w:val="32"/>
              </w:rPr>
              <w:t>一般公共预算支出表</w:t>
            </w:r>
          </w:p>
        </w:tc>
      </w:tr>
      <w:tr w14:paraId="649ED0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51" w:type="dxa"/>
          </w:tcPr>
          <w:p w14:paraId="6D3812B9">
            <w:pPr>
              <w:jc w:val="center"/>
              <w:rPr>
                <w:rFonts w:ascii="Times New Roman" w:hAnsi="Times New Roman" w:eastAsia="仿宋_GB2312" w:cs="Times New Roman"/>
                <w:sz w:val="32"/>
                <w:szCs w:val="32"/>
              </w:rPr>
            </w:pPr>
            <w:r>
              <w:rPr>
                <w:rFonts w:hint="eastAsia" w:ascii="Times New Roman" w:hAnsi="Times New Roman" w:eastAsia="仿宋_GB2312" w:cs="仿宋_GB2312"/>
                <w:sz w:val="32"/>
                <w:szCs w:val="32"/>
              </w:rPr>
              <w:t>预算表</w:t>
            </w:r>
            <w:r>
              <w:rPr>
                <w:rFonts w:ascii="Times New Roman" w:hAnsi="Times New Roman" w:eastAsia="仿宋_GB2312" w:cs="Times New Roman"/>
                <w:sz w:val="32"/>
                <w:szCs w:val="32"/>
              </w:rPr>
              <w:t>3</w:t>
            </w:r>
          </w:p>
        </w:tc>
        <w:tc>
          <w:tcPr>
            <w:tcW w:w="6571" w:type="dxa"/>
          </w:tcPr>
          <w:p w14:paraId="46AAE523">
            <w:pPr>
              <w:jc w:val="left"/>
              <w:rPr>
                <w:rFonts w:ascii="Times New Roman" w:hAnsi="Times New Roman" w:eastAsia="仿宋_GB2312" w:cs="Times New Roman"/>
                <w:sz w:val="32"/>
                <w:szCs w:val="32"/>
              </w:rPr>
            </w:pPr>
            <w:r>
              <w:rPr>
                <w:rFonts w:hint="eastAsia" w:ascii="Times New Roman" w:hAnsi="Times New Roman" w:eastAsia="仿宋_GB2312" w:cs="仿宋_GB2312"/>
                <w:sz w:val="32"/>
                <w:szCs w:val="32"/>
              </w:rPr>
              <w:t>一般公共预算基本支出表</w:t>
            </w:r>
          </w:p>
        </w:tc>
      </w:tr>
      <w:tr w14:paraId="564AFF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51" w:type="dxa"/>
          </w:tcPr>
          <w:p w14:paraId="0D47027D">
            <w:pPr>
              <w:jc w:val="center"/>
              <w:rPr>
                <w:rFonts w:ascii="Times New Roman" w:hAnsi="Times New Roman" w:eastAsia="仿宋_GB2312" w:cs="Times New Roman"/>
                <w:sz w:val="32"/>
                <w:szCs w:val="32"/>
              </w:rPr>
            </w:pPr>
            <w:r>
              <w:rPr>
                <w:rFonts w:hint="eastAsia" w:ascii="Times New Roman" w:hAnsi="Times New Roman" w:eastAsia="仿宋_GB2312" w:cs="仿宋_GB2312"/>
                <w:sz w:val="32"/>
                <w:szCs w:val="32"/>
              </w:rPr>
              <w:t>预算表</w:t>
            </w:r>
            <w:r>
              <w:rPr>
                <w:rFonts w:ascii="Times New Roman" w:hAnsi="Times New Roman" w:eastAsia="仿宋_GB2312" w:cs="Times New Roman"/>
                <w:sz w:val="32"/>
                <w:szCs w:val="32"/>
              </w:rPr>
              <w:t>4</w:t>
            </w:r>
          </w:p>
        </w:tc>
        <w:tc>
          <w:tcPr>
            <w:tcW w:w="6571" w:type="dxa"/>
          </w:tcPr>
          <w:p w14:paraId="32434FC5">
            <w:pPr>
              <w:jc w:val="left"/>
              <w:rPr>
                <w:rFonts w:ascii="Times New Roman" w:hAnsi="Times New Roman" w:eastAsia="仿宋_GB2312" w:cs="Times New Roman"/>
                <w:sz w:val="32"/>
                <w:szCs w:val="32"/>
              </w:rPr>
            </w:pPr>
            <w:r>
              <w:rPr>
                <w:rFonts w:hint="eastAsia" w:ascii="Times New Roman" w:hAnsi="Times New Roman" w:eastAsia="仿宋_GB2312" w:cs="仿宋_GB2312"/>
                <w:sz w:val="32"/>
                <w:szCs w:val="32"/>
              </w:rPr>
              <w:t>一般公共预算</w:t>
            </w:r>
            <w:r>
              <w:rPr>
                <w:rFonts w:ascii="Times New Roman" w:hAnsi="Times New Roman" w:eastAsia="仿宋_GB2312" w:cs="Times New Roman"/>
                <w:sz w:val="32"/>
                <w:szCs w:val="32"/>
              </w:rPr>
              <w:t>“</w:t>
            </w:r>
            <w:r>
              <w:rPr>
                <w:rFonts w:hint="eastAsia" w:ascii="Times New Roman" w:hAnsi="Times New Roman" w:eastAsia="仿宋_GB2312" w:cs="仿宋_GB2312"/>
                <w:sz w:val="32"/>
                <w:szCs w:val="32"/>
              </w:rPr>
              <w:t>三公</w:t>
            </w:r>
            <w:r>
              <w:rPr>
                <w:rFonts w:ascii="Times New Roman" w:hAnsi="Times New Roman" w:eastAsia="仿宋_GB2312" w:cs="Times New Roman"/>
                <w:sz w:val="32"/>
                <w:szCs w:val="32"/>
              </w:rPr>
              <w:t>”</w:t>
            </w:r>
            <w:r>
              <w:rPr>
                <w:rFonts w:hint="eastAsia" w:ascii="Times New Roman" w:hAnsi="Times New Roman" w:eastAsia="仿宋_GB2312" w:cs="仿宋_GB2312"/>
                <w:sz w:val="32"/>
                <w:szCs w:val="32"/>
              </w:rPr>
              <w:t>经费支出表</w:t>
            </w:r>
          </w:p>
        </w:tc>
      </w:tr>
      <w:tr w14:paraId="0D671C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51" w:type="dxa"/>
          </w:tcPr>
          <w:p w14:paraId="1D49DC65">
            <w:pPr>
              <w:jc w:val="center"/>
              <w:rPr>
                <w:rFonts w:ascii="Times New Roman" w:hAnsi="Times New Roman" w:eastAsia="仿宋_GB2312" w:cs="Times New Roman"/>
                <w:sz w:val="32"/>
                <w:szCs w:val="32"/>
              </w:rPr>
            </w:pPr>
            <w:r>
              <w:rPr>
                <w:rFonts w:hint="eastAsia" w:ascii="Times New Roman" w:hAnsi="Times New Roman" w:eastAsia="仿宋_GB2312" w:cs="仿宋_GB2312"/>
                <w:sz w:val="32"/>
                <w:szCs w:val="32"/>
              </w:rPr>
              <w:t>预算表</w:t>
            </w:r>
            <w:r>
              <w:rPr>
                <w:rFonts w:ascii="Times New Roman" w:hAnsi="Times New Roman" w:eastAsia="仿宋_GB2312" w:cs="Times New Roman"/>
                <w:sz w:val="32"/>
                <w:szCs w:val="32"/>
              </w:rPr>
              <w:t>5</w:t>
            </w:r>
          </w:p>
        </w:tc>
        <w:tc>
          <w:tcPr>
            <w:tcW w:w="6571" w:type="dxa"/>
          </w:tcPr>
          <w:p w14:paraId="5388BC0B">
            <w:pPr>
              <w:jc w:val="left"/>
              <w:rPr>
                <w:rFonts w:ascii="Times New Roman" w:hAnsi="Times New Roman" w:eastAsia="仿宋_GB2312" w:cs="Times New Roman"/>
                <w:sz w:val="32"/>
                <w:szCs w:val="32"/>
              </w:rPr>
            </w:pPr>
            <w:r>
              <w:rPr>
                <w:rFonts w:hint="eastAsia" w:ascii="Times New Roman" w:hAnsi="Times New Roman" w:eastAsia="仿宋_GB2312" w:cs="仿宋_GB2312"/>
                <w:sz w:val="32"/>
                <w:szCs w:val="32"/>
              </w:rPr>
              <w:t>政府性基金预算支出表</w:t>
            </w:r>
          </w:p>
        </w:tc>
      </w:tr>
      <w:tr w14:paraId="098FFD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51" w:type="dxa"/>
          </w:tcPr>
          <w:p w14:paraId="1448FE64">
            <w:pPr>
              <w:jc w:val="center"/>
              <w:rPr>
                <w:rFonts w:ascii="Times New Roman" w:hAnsi="Times New Roman" w:eastAsia="仿宋_GB2312" w:cs="Times New Roman"/>
                <w:sz w:val="32"/>
                <w:szCs w:val="32"/>
              </w:rPr>
            </w:pPr>
            <w:r>
              <w:rPr>
                <w:rFonts w:hint="eastAsia" w:ascii="Times New Roman" w:hAnsi="Times New Roman" w:eastAsia="仿宋_GB2312" w:cs="仿宋_GB2312"/>
                <w:sz w:val="32"/>
                <w:szCs w:val="32"/>
              </w:rPr>
              <w:t>预算表</w:t>
            </w:r>
            <w:r>
              <w:rPr>
                <w:rFonts w:ascii="Times New Roman" w:hAnsi="Times New Roman" w:eastAsia="仿宋_GB2312" w:cs="Times New Roman"/>
                <w:sz w:val="32"/>
                <w:szCs w:val="32"/>
              </w:rPr>
              <w:t>6</w:t>
            </w:r>
          </w:p>
        </w:tc>
        <w:tc>
          <w:tcPr>
            <w:tcW w:w="6571" w:type="dxa"/>
          </w:tcPr>
          <w:p w14:paraId="08150BAA">
            <w:pPr>
              <w:jc w:val="left"/>
              <w:rPr>
                <w:rFonts w:ascii="Times New Roman" w:hAnsi="Times New Roman" w:eastAsia="仿宋_GB2312" w:cs="Times New Roman"/>
                <w:sz w:val="32"/>
                <w:szCs w:val="32"/>
              </w:rPr>
            </w:pPr>
            <w:r>
              <w:rPr>
                <w:rFonts w:hint="eastAsia" w:ascii="Times New Roman" w:hAnsi="Times New Roman" w:eastAsia="仿宋_GB2312" w:cs="仿宋_GB2312"/>
                <w:sz w:val="32"/>
                <w:szCs w:val="32"/>
              </w:rPr>
              <w:t>部门收支总表</w:t>
            </w:r>
          </w:p>
        </w:tc>
      </w:tr>
      <w:tr w14:paraId="798F32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51" w:type="dxa"/>
          </w:tcPr>
          <w:p w14:paraId="20FA158A">
            <w:pPr>
              <w:jc w:val="center"/>
              <w:rPr>
                <w:rFonts w:ascii="Times New Roman" w:hAnsi="Times New Roman" w:eastAsia="仿宋_GB2312" w:cs="Times New Roman"/>
                <w:sz w:val="32"/>
                <w:szCs w:val="32"/>
              </w:rPr>
            </w:pPr>
            <w:r>
              <w:rPr>
                <w:rFonts w:hint="eastAsia" w:ascii="Times New Roman" w:hAnsi="Times New Roman" w:eastAsia="仿宋_GB2312" w:cs="仿宋_GB2312"/>
                <w:sz w:val="32"/>
                <w:szCs w:val="32"/>
              </w:rPr>
              <w:t>预算表</w:t>
            </w:r>
            <w:r>
              <w:rPr>
                <w:rFonts w:ascii="Times New Roman" w:hAnsi="Times New Roman" w:eastAsia="仿宋_GB2312" w:cs="Times New Roman"/>
                <w:sz w:val="32"/>
                <w:szCs w:val="32"/>
              </w:rPr>
              <w:t>7</w:t>
            </w:r>
          </w:p>
        </w:tc>
        <w:tc>
          <w:tcPr>
            <w:tcW w:w="6571" w:type="dxa"/>
          </w:tcPr>
          <w:p w14:paraId="732CE22C">
            <w:pPr>
              <w:jc w:val="left"/>
              <w:rPr>
                <w:rFonts w:ascii="Times New Roman" w:hAnsi="Times New Roman" w:eastAsia="仿宋_GB2312" w:cs="Times New Roman"/>
                <w:sz w:val="32"/>
                <w:szCs w:val="32"/>
              </w:rPr>
            </w:pPr>
            <w:r>
              <w:rPr>
                <w:rFonts w:hint="eastAsia" w:ascii="Times New Roman" w:hAnsi="Times New Roman" w:eastAsia="仿宋_GB2312" w:cs="仿宋_GB2312"/>
                <w:sz w:val="32"/>
                <w:szCs w:val="32"/>
              </w:rPr>
              <w:t>部门收入总表</w:t>
            </w:r>
          </w:p>
        </w:tc>
      </w:tr>
      <w:tr w14:paraId="438E9A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51" w:type="dxa"/>
          </w:tcPr>
          <w:p w14:paraId="6E0ABD11">
            <w:pPr>
              <w:jc w:val="center"/>
              <w:rPr>
                <w:rFonts w:ascii="Times New Roman" w:hAnsi="Times New Roman" w:eastAsia="仿宋_GB2312" w:cs="Times New Roman"/>
                <w:sz w:val="32"/>
                <w:szCs w:val="32"/>
              </w:rPr>
            </w:pPr>
            <w:r>
              <w:rPr>
                <w:rFonts w:hint="eastAsia" w:ascii="Times New Roman" w:hAnsi="Times New Roman" w:eastAsia="仿宋_GB2312" w:cs="仿宋_GB2312"/>
                <w:sz w:val="32"/>
                <w:szCs w:val="32"/>
              </w:rPr>
              <w:t>预算表</w:t>
            </w:r>
            <w:r>
              <w:rPr>
                <w:rFonts w:ascii="Times New Roman" w:hAnsi="Times New Roman" w:eastAsia="仿宋_GB2312" w:cs="Times New Roman"/>
                <w:sz w:val="32"/>
                <w:szCs w:val="32"/>
              </w:rPr>
              <w:t>8</w:t>
            </w:r>
          </w:p>
        </w:tc>
        <w:tc>
          <w:tcPr>
            <w:tcW w:w="6571" w:type="dxa"/>
          </w:tcPr>
          <w:p w14:paraId="01FF5196">
            <w:pPr>
              <w:jc w:val="left"/>
              <w:rPr>
                <w:rFonts w:ascii="Times New Roman" w:hAnsi="Times New Roman" w:eastAsia="仿宋_GB2312" w:cs="Times New Roman"/>
                <w:sz w:val="32"/>
                <w:szCs w:val="32"/>
              </w:rPr>
            </w:pPr>
            <w:r>
              <w:rPr>
                <w:rFonts w:hint="eastAsia" w:ascii="Times New Roman" w:hAnsi="Times New Roman" w:eastAsia="仿宋_GB2312" w:cs="仿宋_GB2312"/>
                <w:sz w:val="32"/>
                <w:szCs w:val="32"/>
              </w:rPr>
              <w:t>部门支出总表</w:t>
            </w:r>
          </w:p>
        </w:tc>
      </w:tr>
    </w:tbl>
    <w:p w14:paraId="4977A01F">
      <w:pPr>
        <w:rPr>
          <w:rFonts w:ascii="Times New Roman" w:hAnsi="Times New Roman" w:cs="Times New Roman"/>
        </w:rPr>
      </w:pPr>
    </w:p>
    <w:sectPr>
      <w:footerReference r:id="rId3" w:type="default"/>
      <w:pgSz w:w="11906" w:h="16838"/>
      <w:pgMar w:top="1440" w:right="1800" w:bottom="1440" w:left="1800" w:header="851" w:footer="992" w:gutter="0"/>
      <w:pgNumType w:start="0"/>
      <w:cols w:space="425"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9664B97">
    <w:pPr>
      <w:pStyle w:val="3"/>
      <w:framePr w:wrap="auto" w:vAnchor="text" w:hAnchor="margin" w:xAlign="right" w:y="1"/>
      <w:rPr>
        <w:rStyle w:val="9"/>
        <w:rFonts w:cs="Times New Roman"/>
      </w:rPr>
    </w:pPr>
    <w:r>
      <w:rPr>
        <w:rStyle w:val="9"/>
      </w:rPr>
      <w:fldChar w:fldCharType="begin"/>
    </w:r>
    <w:r>
      <w:rPr>
        <w:rStyle w:val="9"/>
      </w:rPr>
      <w:instrText xml:space="preserve">PAGE  </w:instrText>
    </w:r>
    <w:r>
      <w:rPr>
        <w:rStyle w:val="9"/>
      </w:rPr>
      <w:fldChar w:fldCharType="separate"/>
    </w:r>
    <w:r>
      <w:rPr>
        <w:rStyle w:val="9"/>
      </w:rPr>
      <w:t>5</w:t>
    </w:r>
    <w:r>
      <w:rPr>
        <w:rStyle w:val="9"/>
      </w:rPr>
      <w:fldChar w:fldCharType="end"/>
    </w:r>
  </w:p>
  <w:p w14:paraId="3F30FCD2">
    <w:pPr>
      <w:pStyle w:val="3"/>
      <w:ind w:right="360"/>
      <w:rPr>
        <w:rFonts w:cs="Times New Roman"/>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oNotHyphenateCaps/>
  <w:drawingGridHorizontalSpacing w:val="105"/>
  <w:drawingGridVerticalSpacing w:val="156"/>
  <w:noPunctuationKerning w:val="1"/>
  <w:characterSpacingControl w:val="compressPunctuation"/>
  <w:noLineBreaksAfter w:lang="zh-CN" w:val="$([{£¥·‘“〈《「『【〔〖〝﹙﹛﹝＄（．［｛￡￥"/>
  <w:noLineBreaksBefore w:lang="zh-CN" w:val="!%),.:;&gt;?]}¢¨°·ˇˉ―‖’”…‰′″›℃∶、。〃〉》」』】〕〗〞︶︺︾﹀﹄﹚﹜﹞！＂％＇），．：；？］｀｜｝～￠"/>
  <w:doNotValidateAgainstSchema/>
  <w:doNotDemarcateInvalidXml/>
  <w:compat>
    <w:spaceForUL/>
    <w:balanceSingleByteDoubleByteWidth/>
    <w:doNotLeaveBackslashAlone/>
    <w:doNotExpandShiftReturn/>
    <w:adjustLineHeightInTable/>
    <w:doNotBreakWrappedTables/>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82412"/>
    <w:rsid w:val="00031515"/>
    <w:rsid w:val="000D6C81"/>
    <w:rsid w:val="001519AD"/>
    <w:rsid w:val="00156ACC"/>
    <w:rsid w:val="0016144D"/>
    <w:rsid w:val="00180F1F"/>
    <w:rsid w:val="0018136C"/>
    <w:rsid w:val="00203959"/>
    <w:rsid w:val="00203FBC"/>
    <w:rsid w:val="00216625"/>
    <w:rsid w:val="002300D7"/>
    <w:rsid w:val="00256189"/>
    <w:rsid w:val="00261D37"/>
    <w:rsid w:val="002B5CF3"/>
    <w:rsid w:val="002E7906"/>
    <w:rsid w:val="002F04EF"/>
    <w:rsid w:val="002F05F5"/>
    <w:rsid w:val="00313F33"/>
    <w:rsid w:val="00326CB1"/>
    <w:rsid w:val="003402E4"/>
    <w:rsid w:val="00347B34"/>
    <w:rsid w:val="00370FE4"/>
    <w:rsid w:val="003809AC"/>
    <w:rsid w:val="00381456"/>
    <w:rsid w:val="00382412"/>
    <w:rsid w:val="0041378F"/>
    <w:rsid w:val="00434078"/>
    <w:rsid w:val="00451C48"/>
    <w:rsid w:val="00470393"/>
    <w:rsid w:val="004A1C5C"/>
    <w:rsid w:val="004A2B86"/>
    <w:rsid w:val="004E37FD"/>
    <w:rsid w:val="00502147"/>
    <w:rsid w:val="005156A2"/>
    <w:rsid w:val="00521DC7"/>
    <w:rsid w:val="00550794"/>
    <w:rsid w:val="00584574"/>
    <w:rsid w:val="00592CE7"/>
    <w:rsid w:val="005A5318"/>
    <w:rsid w:val="005E0A91"/>
    <w:rsid w:val="005F1CEA"/>
    <w:rsid w:val="00645FE2"/>
    <w:rsid w:val="00647005"/>
    <w:rsid w:val="00653F29"/>
    <w:rsid w:val="006641FD"/>
    <w:rsid w:val="00671B7E"/>
    <w:rsid w:val="00681FB1"/>
    <w:rsid w:val="006B03BF"/>
    <w:rsid w:val="00702D73"/>
    <w:rsid w:val="00710DA8"/>
    <w:rsid w:val="00712D1F"/>
    <w:rsid w:val="007171AD"/>
    <w:rsid w:val="00744C8D"/>
    <w:rsid w:val="007822D5"/>
    <w:rsid w:val="007937E4"/>
    <w:rsid w:val="007C2217"/>
    <w:rsid w:val="007E292D"/>
    <w:rsid w:val="00815E03"/>
    <w:rsid w:val="008206E1"/>
    <w:rsid w:val="008408EC"/>
    <w:rsid w:val="00883E5C"/>
    <w:rsid w:val="008903A2"/>
    <w:rsid w:val="008B4575"/>
    <w:rsid w:val="008D1C3E"/>
    <w:rsid w:val="008D6AFE"/>
    <w:rsid w:val="00902728"/>
    <w:rsid w:val="00915EA7"/>
    <w:rsid w:val="00933924"/>
    <w:rsid w:val="009A1C21"/>
    <w:rsid w:val="009B5280"/>
    <w:rsid w:val="009C339A"/>
    <w:rsid w:val="009E2EED"/>
    <w:rsid w:val="00A43237"/>
    <w:rsid w:val="00A71C8B"/>
    <w:rsid w:val="00A7207A"/>
    <w:rsid w:val="00B071F5"/>
    <w:rsid w:val="00B113F5"/>
    <w:rsid w:val="00B15430"/>
    <w:rsid w:val="00B329A5"/>
    <w:rsid w:val="00B73A19"/>
    <w:rsid w:val="00B7737B"/>
    <w:rsid w:val="00B81F23"/>
    <w:rsid w:val="00BD6A8F"/>
    <w:rsid w:val="00C57F59"/>
    <w:rsid w:val="00C62410"/>
    <w:rsid w:val="00C76610"/>
    <w:rsid w:val="00C82AC0"/>
    <w:rsid w:val="00D25B82"/>
    <w:rsid w:val="00D37959"/>
    <w:rsid w:val="00DA7C17"/>
    <w:rsid w:val="00DB55CE"/>
    <w:rsid w:val="00DD083F"/>
    <w:rsid w:val="00DE3E6C"/>
    <w:rsid w:val="00DE6A06"/>
    <w:rsid w:val="00DF26D6"/>
    <w:rsid w:val="00DF52EA"/>
    <w:rsid w:val="00E13867"/>
    <w:rsid w:val="00E22E67"/>
    <w:rsid w:val="00E36EDD"/>
    <w:rsid w:val="00E60A59"/>
    <w:rsid w:val="00E66D5E"/>
    <w:rsid w:val="00E77156"/>
    <w:rsid w:val="00E83E39"/>
    <w:rsid w:val="00EA131A"/>
    <w:rsid w:val="00EB2B04"/>
    <w:rsid w:val="00EB2D63"/>
    <w:rsid w:val="00ED641C"/>
    <w:rsid w:val="00F06197"/>
    <w:rsid w:val="00F22D1F"/>
    <w:rsid w:val="00F46C79"/>
    <w:rsid w:val="00F83552"/>
    <w:rsid w:val="00FA06F8"/>
    <w:rsid w:val="00FA74EE"/>
    <w:rsid w:val="00FF14C5"/>
    <w:rsid w:val="00FF68E7"/>
    <w:rsid w:val="07B03BAF"/>
    <w:rsid w:val="119354A3"/>
    <w:rsid w:val="2A66639F"/>
    <w:rsid w:val="2DB41951"/>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unhideWhenUsed="0" w:uiPriority="99" w:semiHidden="0" w:name="header"/>
    <w:lsdException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qFormat="1" w:unhideWhenUsed="0" w:uiPriority="99" w:semiHidden="0"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99" w:name="Balloon Text"/>
    <w:lsdException w:qFormat="1"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rPr>
  </w:style>
  <w:style w:type="character" w:default="1" w:styleId="8">
    <w:name w:val="Default Paragraph Font"/>
    <w:semiHidden/>
    <w:uiPriority w:val="99"/>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2"/>
    <w:semiHidden/>
    <w:uiPriority w:val="99"/>
    <w:rPr>
      <w:sz w:val="18"/>
      <w:szCs w:val="18"/>
    </w:rPr>
  </w:style>
  <w:style w:type="paragraph" w:styleId="3">
    <w:name w:val="footer"/>
    <w:basedOn w:val="1"/>
    <w:link w:val="13"/>
    <w:uiPriority w:val="99"/>
    <w:pPr>
      <w:tabs>
        <w:tab w:val="center" w:pos="4153"/>
        <w:tab w:val="right" w:pos="8306"/>
      </w:tabs>
      <w:snapToGrid w:val="0"/>
      <w:jc w:val="left"/>
    </w:pPr>
    <w:rPr>
      <w:sz w:val="18"/>
      <w:szCs w:val="18"/>
    </w:rPr>
  </w:style>
  <w:style w:type="paragraph" w:styleId="4">
    <w:name w:val="header"/>
    <w:basedOn w:val="1"/>
    <w:link w:val="14"/>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99"/>
    <w:pPr>
      <w:spacing w:beforeAutospacing="1" w:afterAutospacing="1"/>
      <w:jc w:val="left"/>
    </w:pPr>
    <w:rPr>
      <w:kern w:val="0"/>
      <w:sz w:val="24"/>
      <w:szCs w:val="24"/>
    </w:rPr>
  </w:style>
  <w:style w:type="table" w:styleId="7">
    <w:name w:val="Table Grid"/>
    <w:basedOn w:val="6"/>
    <w:qFormat/>
    <w:uiPriority w:val="99"/>
    <w:rPr>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9">
    <w:name w:val="page number"/>
    <w:basedOn w:val="8"/>
    <w:qFormat/>
    <w:uiPriority w:val="99"/>
  </w:style>
  <w:style w:type="character" w:styleId="10">
    <w:name w:val="FollowedHyperlink"/>
    <w:basedOn w:val="8"/>
    <w:qFormat/>
    <w:uiPriority w:val="99"/>
    <w:rPr>
      <w:color w:val="auto"/>
      <w:u w:val="none"/>
    </w:rPr>
  </w:style>
  <w:style w:type="character" w:styleId="11">
    <w:name w:val="Hyperlink"/>
    <w:basedOn w:val="8"/>
    <w:qFormat/>
    <w:uiPriority w:val="99"/>
    <w:rPr>
      <w:color w:val="auto"/>
      <w:u w:val="none"/>
    </w:rPr>
  </w:style>
  <w:style w:type="character" w:customStyle="1" w:styleId="12">
    <w:name w:val="Balloon Text Char"/>
    <w:basedOn w:val="8"/>
    <w:link w:val="2"/>
    <w:semiHidden/>
    <w:locked/>
    <w:uiPriority w:val="99"/>
    <w:rPr>
      <w:sz w:val="18"/>
      <w:szCs w:val="18"/>
    </w:rPr>
  </w:style>
  <w:style w:type="character" w:customStyle="1" w:styleId="13">
    <w:name w:val="Footer Char"/>
    <w:basedOn w:val="8"/>
    <w:link w:val="3"/>
    <w:locked/>
    <w:uiPriority w:val="99"/>
    <w:rPr>
      <w:sz w:val="18"/>
      <w:szCs w:val="18"/>
    </w:rPr>
  </w:style>
  <w:style w:type="character" w:customStyle="1" w:styleId="14">
    <w:name w:val="Header Char"/>
    <w:basedOn w:val="8"/>
    <w:link w:val="4"/>
    <w:qFormat/>
    <w:locked/>
    <w:uiPriority w:val="99"/>
    <w:rPr>
      <w:sz w:val="18"/>
      <w:szCs w:val="18"/>
    </w:rPr>
  </w:style>
  <w:style w:type="paragraph" w:customStyle="1" w:styleId="15">
    <w:name w:val="No Spacing1"/>
    <w:link w:val="16"/>
    <w:qFormat/>
    <w:uiPriority w:val="99"/>
    <w:rPr>
      <w:rFonts w:ascii="Calibri" w:hAnsi="Calibri" w:eastAsia="宋体" w:cs="Calibri"/>
      <w:kern w:val="0"/>
      <w:sz w:val="22"/>
      <w:szCs w:val="22"/>
      <w:lang w:val="en-US" w:eastAsia="zh-CN" w:bidi="ar-SA"/>
    </w:rPr>
  </w:style>
  <w:style w:type="character" w:customStyle="1" w:styleId="16">
    <w:name w:val="无间隔 Char"/>
    <w:basedOn w:val="8"/>
    <w:link w:val="15"/>
    <w:qFormat/>
    <w:locked/>
    <w:uiPriority w:val="99"/>
    <w:rPr>
      <w:rFonts w:ascii="Calibri" w:hAnsi="Calibri" w:cs="Calibri"/>
      <w:sz w:val="22"/>
      <w:szCs w:val="22"/>
      <w:lang w:val="en-US" w:eastAsia="zh-CN"/>
    </w:rPr>
  </w:style>
  <w:style w:type="character" w:customStyle="1" w:styleId="17">
    <w:name w:val="selected"/>
    <w:basedOn w:val="8"/>
    <w:qFormat/>
    <w:uiPriority w:val="99"/>
  </w:style>
  <w:style w:type="character" w:customStyle="1" w:styleId="18">
    <w:name w:val="head"/>
    <w:basedOn w:val="8"/>
    <w:qFormat/>
    <w:uiPriority w:val="99"/>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Normal_Wordconv</Template>
  <Company>Microsoft</Company>
  <Pages>8</Pages>
  <Words>1933</Words>
  <Characters>2075</Characters>
  <Lines>0</Lines>
  <Paragraphs>0</Paragraphs>
  <TotalTime>0</TotalTime>
  <ScaleCrop>false</ScaleCrop>
  <LinksUpToDate>false</LinksUpToDate>
  <CharactersWithSpaces>2099</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2015-10-30T07:05:00Z</dcterms:created>
  <dc:creator>李峰</dc:creator>
  <cp:lastModifiedBy>dgcrx</cp:lastModifiedBy>
  <cp:lastPrinted>2015-11-05T09:54:00Z</cp:lastPrinted>
  <dcterms:modified xsi:type="dcterms:W3CDTF">2025-01-23T03:18:30Z</dcterms:modified>
  <dc:title>2015年东莞市公安局  部门预算</dc:title>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KSOTemplateDocerSaveRecord">
    <vt:lpwstr>eyJoZGlkIjoiZmIyOTU2ZjU1YjZmOGVjNWE3ZWIwODRiNzc5OTkzMGIiLCJ1c2VySWQiOiIyODYyNDM2MTIifQ==</vt:lpwstr>
  </property>
  <property fmtid="{D5CDD505-2E9C-101B-9397-08002B2CF9AE}" pid="4" name="ICV">
    <vt:lpwstr>D935206E8C17470C81C014AEF27B6B5A_12</vt:lpwstr>
  </property>
</Properties>
</file>