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22" w:type="dxa"/>
        <w:jc w:val="center"/>
        <w:tblLayout w:type="fixed"/>
        <w:tblLook w:val="00A0"/>
      </w:tblPr>
      <w:tblGrid>
        <w:gridCol w:w="8522"/>
      </w:tblGrid>
      <w:tr w:rsidR="002D7D75">
        <w:trPr>
          <w:trHeight w:val="2880"/>
          <w:jc w:val="center"/>
        </w:trPr>
        <w:tc>
          <w:tcPr>
            <w:tcW w:w="8522" w:type="dxa"/>
          </w:tcPr>
          <w:p w:rsidR="002D7D75" w:rsidRDefault="002D7D75">
            <w:pPr>
              <w:pStyle w:val="NoSpacing1"/>
              <w:jc w:val="center"/>
              <w:rPr>
                <w:rFonts w:ascii="Times New Roman" w:hAnsi="Times New Roman" w:cs="Times New Roman"/>
                <w:caps/>
              </w:rPr>
            </w:pPr>
          </w:p>
        </w:tc>
      </w:tr>
      <w:tr w:rsidR="002D7D75">
        <w:trPr>
          <w:trHeight w:val="1440"/>
          <w:jc w:val="center"/>
        </w:trPr>
        <w:tc>
          <w:tcPr>
            <w:tcW w:w="8522" w:type="dxa"/>
            <w:tcBorders>
              <w:bottom w:val="single" w:sz="4" w:space="0" w:color="4F81BD"/>
            </w:tcBorders>
            <w:vAlign w:val="center"/>
          </w:tcPr>
          <w:p w:rsidR="002D7D75" w:rsidRDefault="002D7D75">
            <w:pPr>
              <w:pStyle w:val="NoSpacing1"/>
              <w:jc w:val="center"/>
              <w:rPr>
                <w:rFonts w:ascii="Times New Roman" w:hAnsi="Times New Roman" w:cs="Times New Roman"/>
                <w:sz w:val="80"/>
                <w:szCs w:val="80"/>
              </w:rPr>
            </w:pPr>
            <w:r>
              <w:rPr>
                <w:rFonts w:ascii="Times New Roman" w:hAnsi="Times New Roman" w:cs="Times New Roman"/>
                <w:sz w:val="80"/>
                <w:szCs w:val="80"/>
              </w:rPr>
              <w:t>2014</w:t>
            </w:r>
            <w:r>
              <w:rPr>
                <w:rFonts w:ascii="Times New Roman" w:hAnsi="Times New Roman" w:cs="Times New Roman" w:hint="eastAsia"/>
                <w:sz w:val="80"/>
                <w:szCs w:val="80"/>
              </w:rPr>
              <w:t>年东莞市第二看守所部门决算</w:t>
            </w:r>
            <w:r>
              <w:rPr>
                <w:rFonts w:ascii="Times New Roman" w:hAnsi="Times New Roman" w:cs="Times New Roman"/>
                <w:sz w:val="80"/>
                <w:szCs w:val="80"/>
              </w:rPr>
              <w:t xml:space="preserve">   </w:t>
            </w:r>
          </w:p>
        </w:tc>
      </w:tr>
      <w:tr w:rsidR="002D7D75">
        <w:trPr>
          <w:trHeight w:val="720"/>
          <w:jc w:val="center"/>
        </w:trPr>
        <w:tc>
          <w:tcPr>
            <w:tcW w:w="8522" w:type="dxa"/>
            <w:tcBorders>
              <w:top w:val="single" w:sz="4" w:space="0" w:color="4F81BD"/>
            </w:tcBorders>
            <w:vAlign w:val="center"/>
          </w:tcPr>
          <w:p w:rsidR="002D7D75" w:rsidRDefault="002D7D75">
            <w:pPr>
              <w:pStyle w:val="NoSpacing1"/>
              <w:jc w:val="center"/>
              <w:rPr>
                <w:rFonts w:ascii="Times New Roman" w:hAnsi="Times New Roman" w:cs="Times New Roman"/>
                <w:sz w:val="44"/>
                <w:szCs w:val="44"/>
              </w:rPr>
            </w:pPr>
          </w:p>
        </w:tc>
      </w:tr>
      <w:tr w:rsidR="002D7D75">
        <w:trPr>
          <w:trHeight w:val="360"/>
          <w:jc w:val="center"/>
        </w:trPr>
        <w:tc>
          <w:tcPr>
            <w:tcW w:w="8522" w:type="dxa"/>
            <w:vAlign w:val="center"/>
          </w:tcPr>
          <w:p w:rsidR="002D7D75" w:rsidRDefault="002D7D75">
            <w:pPr>
              <w:pStyle w:val="NoSpacing1"/>
              <w:jc w:val="center"/>
              <w:rPr>
                <w:rFonts w:ascii="Times New Roman" w:hAnsi="Times New Roman" w:cs="Times New Roman"/>
              </w:rPr>
            </w:pPr>
          </w:p>
        </w:tc>
      </w:tr>
      <w:tr w:rsidR="002D7D75">
        <w:trPr>
          <w:trHeight w:val="360"/>
          <w:jc w:val="center"/>
        </w:trPr>
        <w:tc>
          <w:tcPr>
            <w:tcW w:w="8522" w:type="dxa"/>
            <w:vAlign w:val="center"/>
          </w:tcPr>
          <w:p w:rsidR="002D7D75" w:rsidRDefault="002D7D75">
            <w:pPr>
              <w:pStyle w:val="NoSpacing1"/>
              <w:jc w:val="center"/>
              <w:rPr>
                <w:rFonts w:ascii="Times New Roman" w:hAnsi="Times New Roman" w:cs="Times New Roman"/>
                <w:b/>
                <w:bCs/>
              </w:rPr>
            </w:pPr>
          </w:p>
        </w:tc>
      </w:tr>
    </w:tbl>
    <w:p w:rsidR="002D7D75" w:rsidRDefault="002D7D75">
      <w:pPr>
        <w:rPr>
          <w:rFonts w:ascii="Times New Roman" w:hAnsi="Times New Roman" w:cs="Times New Roman"/>
        </w:rPr>
      </w:pPr>
    </w:p>
    <w:p w:rsidR="002D7D75" w:rsidRDefault="002D7D75">
      <w:pPr>
        <w:rPr>
          <w:rFonts w:ascii="Times New Roman" w:hAnsi="Times New Roman" w:cs="Times New Roman"/>
        </w:rPr>
      </w:pPr>
    </w:p>
    <w:p w:rsidR="002D7D75" w:rsidRDefault="002D7D75">
      <w:pPr>
        <w:rPr>
          <w:rFonts w:ascii="Times New Roman" w:hAnsi="Times New Roman" w:cs="Times New Roman"/>
        </w:rPr>
      </w:pPr>
    </w:p>
    <w:p w:rsidR="002D7D75" w:rsidRDefault="002D7D75">
      <w:pPr>
        <w:widowControl/>
        <w:jc w:val="left"/>
        <w:rPr>
          <w:rFonts w:ascii="Times New Roman" w:hAnsi="Times New Roman" w:cs="Times New Roman"/>
        </w:rPr>
      </w:pPr>
      <w:r>
        <w:rPr>
          <w:rFonts w:ascii="Times New Roman" w:hAnsi="Times New Roman" w:cs="Times New Roman"/>
        </w:rPr>
        <w:br w:type="page"/>
      </w:r>
    </w:p>
    <w:p w:rsidR="002D7D75" w:rsidRPr="005127E7" w:rsidRDefault="002D7D75">
      <w:pPr>
        <w:jc w:val="center"/>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目</w:t>
      </w:r>
      <w:r w:rsidRPr="005127E7">
        <w:rPr>
          <w:rFonts w:ascii="Times New Roman" w:eastAsia="黑体" w:hAnsi="Times New Roman" w:cs="Times New Roman"/>
          <w:b/>
          <w:sz w:val="32"/>
          <w:szCs w:val="32"/>
        </w:rPr>
        <w:t xml:space="preserve">    </w:t>
      </w:r>
      <w:r w:rsidRPr="005127E7">
        <w:rPr>
          <w:rFonts w:ascii="Times New Roman" w:eastAsia="黑体" w:hAnsi="Times New Roman" w:cs="Times New Roman" w:hint="eastAsia"/>
          <w:b/>
          <w:sz w:val="32"/>
          <w:szCs w:val="32"/>
        </w:rPr>
        <w:t>录</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第一部分</w:t>
      </w:r>
      <w:r w:rsidRPr="005127E7">
        <w:rPr>
          <w:rFonts w:ascii="Times New Roman" w:eastAsia="黑体" w:hAnsi="Times New Roman" w:cs="Times New Roman"/>
          <w:b/>
          <w:sz w:val="32"/>
          <w:szCs w:val="32"/>
        </w:rPr>
        <w:t xml:space="preserve"> </w:t>
      </w:r>
      <w:r w:rsidRPr="005127E7">
        <w:rPr>
          <w:rFonts w:ascii="Times New Roman" w:eastAsia="黑体" w:hAnsi="Times New Roman" w:cs="Times New Roman" w:hint="eastAsia"/>
          <w:b/>
          <w:sz w:val="32"/>
          <w:szCs w:val="32"/>
        </w:rPr>
        <w:t>部门概况</w:t>
      </w:r>
    </w:p>
    <w:p w:rsidR="002D7D75" w:rsidRDefault="002D7D75" w:rsidP="00337859">
      <w:pPr>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一、部门主要职责</w:t>
      </w:r>
    </w:p>
    <w:p w:rsidR="002D7D75" w:rsidRDefault="002D7D75" w:rsidP="00337859">
      <w:pPr>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二、部门决算单位构成</w:t>
      </w:r>
    </w:p>
    <w:p w:rsidR="002D7D75" w:rsidRDefault="002D7D75" w:rsidP="00337859">
      <w:pPr>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三、人员情况</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第二部分</w:t>
      </w:r>
      <w:r w:rsidRPr="005127E7">
        <w:rPr>
          <w:rFonts w:ascii="Times New Roman" w:eastAsia="黑体" w:hAnsi="Times New Roman" w:cs="Times New Roman"/>
          <w:b/>
          <w:sz w:val="32"/>
          <w:szCs w:val="32"/>
        </w:rPr>
        <w:t xml:space="preserve"> 2014</w:t>
      </w:r>
      <w:r w:rsidRPr="005127E7">
        <w:rPr>
          <w:rFonts w:ascii="Times New Roman" w:eastAsia="黑体" w:hAnsi="Times New Roman" w:cs="Times New Roman" w:hint="eastAsia"/>
          <w:b/>
          <w:sz w:val="32"/>
          <w:szCs w:val="32"/>
        </w:rPr>
        <w:t>年部门决算情况说明</w:t>
      </w:r>
    </w:p>
    <w:p w:rsidR="002D7D75" w:rsidRDefault="002D7D75" w:rsidP="00337859">
      <w:pPr>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w:t>
      </w:r>
      <w:r>
        <w:rPr>
          <w:rFonts w:ascii="仿宋_GB2312" w:eastAsia="仿宋_GB2312" w:hAnsi="Times New Roman" w:cs="Times New Roman"/>
          <w:sz w:val="32"/>
          <w:szCs w:val="32"/>
        </w:rPr>
        <w:t>2014</w:t>
      </w:r>
      <w:r>
        <w:rPr>
          <w:rFonts w:ascii="仿宋_GB2312" w:eastAsia="仿宋_GB2312" w:hAnsi="Times New Roman" w:cs="Times New Roman" w:hint="eastAsia"/>
          <w:sz w:val="32"/>
          <w:szCs w:val="32"/>
        </w:rPr>
        <w:t>年度部门收入支出决算情况说明</w:t>
      </w:r>
    </w:p>
    <w:p w:rsidR="002D7D75" w:rsidRDefault="002D7D75" w:rsidP="00337859">
      <w:pPr>
        <w:ind w:firstLineChars="200" w:firstLine="3168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w:t>
      </w:r>
      <w:r>
        <w:rPr>
          <w:rFonts w:ascii="仿宋_GB2312" w:eastAsia="仿宋_GB2312" w:hAnsi="Times New Roman" w:cs="Times New Roman"/>
          <w:sz w:val="32"/>
          <w:szCs w:val="32"/>
        </w:rPr>
        <w:t>2014</w:t>
      </w:r>
      <w:r>
        <w:rPr>
          <w:rFonts w:ascii="仿宋_GB2312" w:eastAsia="仿宋_GB2312" w:hAnsi="Times New Roman" w:cs="Times New Roman" w:hint="eastAsia"/>
          <w:sz w:val="32"/>
          <w:szCs w:val="32"/>
        </w:rPr>
        <w:t>年一般公共预算“三公”经费支出情况说明</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第三部分</w:t>
      </w:r>
      <w:r w:rsidRPr="005127E7">
        <w:rPr>
          <w:rFonts w:ascii="Times New Roman" w:eastAsia="黑体" w:hAnsi="Times New Roman" w:cs="Times New Roman"/>
          <w:b/>
          <w:sz w:val="32"/>
          <w:szCs w:val="32"/>
        </w:rPr>
        <w:t xml:space="preserve"> 201</w:t>
      </w:r>
      <w:r>
        <w:rPr>
          <w:rFonts w:ascii="Times New Roman" w:eastAsia="黑体" w:hAnsi="Times New Roman" w:cs="Times New Roman"/>
          <w:b/>
          <w:sz w:val="32"/>
          <w:szCs w:val="32"/>
        </w:rPr>
        <w:t>4</w:t>
      </w:r>
      <w:r w:rsidRPr="005127E7">
        <w:rPr>
          <w:rFonts w:ascii="Times New Roman" w:eastAsia="黑体" w:hAnsi="Times New Roman" w:cs="Times New Roman" w:hint="eastAsia"/>
          <w:b/>
          <w:sz w:val="32"/>
          <w:szCs w:val="32"/>
        </w:rPr>
        <w:t>年部门决算表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一、收入支出决算总表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四、财政拨款收入支出决算总表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2D7D75" w:rsidRDefault="002D7D75" w:rsidP="00337859">
      <w:pPr>
        <w:ind w:firstLineChars="200" w:firstLine="316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2D7D75" w:rsidRDefault="002D7D75" w:rsidP="00337859">
      <w:pPr>
        <w:ind w:firstLineChars="200" w:firstLine="31680"/>
        <w:jc w:val="left"/>
        <w:rPr>
          <w:rFonts w:ascii="仿宋_GB2312" w:eastAsia="仿宋_GB2312" w:hAnsi="Times New Roman" w:cs="Times New Roman"/>
          <w:sz w:val="32"/>
          <w:szCs w:val="32"/>
        </w:rPr>
      </w:pPr>
    </w:p>
    <w:p w:rsidR="002D7D75" w:rsidRDefault="002D7D75" w:rsidP="00337859">
      <w:pPr>
        <w:ind w:firstLineChars="200" w:firstLine="31680"/>
        <w:jc w:val="left"/>
        <w:rPr>
          <w:rFonts w:ascii="仿宋_GB2312" w:eastAsia="仿宋_GB2312" w:hAnsi="Times New Roman" w:cs="Times New Roman"/>
          <w:sz w:val="32"/>
          <w:szCs w:val="32"/>
        </w:rPr>
      </w:pPr>
    </w:p>
    <w:p w:rsidR="002D7D75" w:rsidRDefault="002D7D75" w:rsidP="00337859">
      <w:pPr>
        <w:ind w:firstLineChars="200" w:firstLine="31680"/>
        <w:jc w:val="left"/>
        <w:rPr>
          <w:rFonts w:ascii="仿宋_GB2312" w:eastAsia="仿宋_GB2312" w:hAnsi="Times New Roman" w:cs="Times New Roman"/>
          <w:sz w:val="32"/>
          <w:szCs w:val="32"/>
        </w:rPr>
      </w:pPr>
    </w:p>
    <w:p w:rsidR="002D7D75" w:rsidRDefault="002D7D75" w:rsidP="00337859">
      <w:pPr>
        <w:ind w:firstLineChars="200" w:firstLine="31680"/>
        <w:jc w:val="left"/>
        <w:rPr>
          <w:rFonts w:ascii="仿宋_GB2312" w:eastAsia="仿宋_GB2312" w:hAnsi="Times New Roman" w:cs="Times New Roman"/>
          <w:sz w:val="32"/>
          <w:szCs w:val="32"/>
        </w:rPr>
      </w:pPr>
    </w:p>
    <w:p w:rsidR="002D7D75" w:rsidRDefault="002D7D75" w:rsidP="00337859">
      <w:pPr>
        <w:ind w:firstLineChars="200" w:firstLine="31680"/>
        <w:jc w:val="left"/>
        <w:rPr>
          <w:rFonts w:ascii="仿宋_GB2312" w:eastAsia="仿宋_GB2312" w:hAnsi="Times New Roman" w:cs="Times New Roman"/>
          <w:sz w:val="32"/>
          <w:szCs w:val="32"/>
        </w:rPr>
      </w:pPr>
    </w:p>
    <w:p w:rsidR="002D7D75" w:rsidRPr="005127E7" w:rsidRDefault="002D7D75">
      <w:pPr>
        <w:jc w:val="center"/>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第一部分</w:t>
      </w:r>
      <w:r w:rsidRPr="005127E7">
        <w:rPr>
          <w:rFonts w:ascii="Times New Roman" w:eastAsia="黑体" w:hAnsi="Times New Roman" w:cs="Times New Roman"/>
          <w:b/>
          <w:sz w:val="32"/>
          <w:szCs w:val="32"/>
        </w:rPr>
        <w:t xml:space="preserve">  </w:t>
      </w:r>
      <w:r w:rsidRPr="005127E7">
        <w:rPr>
          <w:rFonts w:ascii="Times New Roman" w:eastAsia="黑体" w:hAnsi="Times New Roman" w:cs="Times New Roman" w:hint="eastAsia"/>
          <w:b/>
          <w:sz w:val="32"/>
          <w:szCs w:val="32"/>
        </w:rPr>
        <w:t>部门概况</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一、部门主要职责</w:t>
      </w:r>
    </w:p>
    <w:p w:rsidR="002D7D75" w:rsidRDefault="002D7D75" w:rsidP="00337859">
      <w:pPr>
        <w:ind w:firstLineChars="15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东莞市第二看守所主要职能是羁押依法被逮捕、刑事拘留的犯罪嫌疑人和余刑</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个月以内的罪犯。</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二、部门决算单位构成</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东莞市第二看守所内设</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个部门负责看守所各项日常工作。</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三、人员情况</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截至</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年底，东莞市第二看守所共有行政</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事业编制数</w:t>
      </w:r>
      <w:r>
        <w:rPr>
          <w:rFonts w:ascii="Times New Roman" w:eastAsia="仿宋_GB2312" w:hAnsi="Times New Roman" w:cs="Times New Roman"/>
          <w:sz w:val="32"/>
          <w:szCs w:val="32"/>
        </w:rPr>
        <w:t xml:space="preserve">177 </w:t>
      </w:r>
      <w:r>
        <w:rPr>
          <w:rFonts w:ascii="Times New Roman" w:eastAsia="仿宋_GB2312" w:hAnsi="Times New Roman" w:cs="Times New Roman" w:hint="eastAsia"/>
          <w:sz w:val="32"/>
          <w:szCs w:val="32"/>
        </w:rPr>
        <w:t>名，其中财政供养的编内实有在职人员</w:t>
      </w:r>
      <w:r>
        <w:rPr>
          <w:rFonts w:ascii="Times New Roman" w:eastAsia="仿宋_GB2312" w:hAnsi="Times New Roman" w:cs="Times New Roman"/>
          <w:sz w:val="32"/>
          <w:szCs w:val="32"/>
        </w:rPr>
        <w:t>232</w:t>
      </w:r>
      <w:r>
        <w:rPr>
          <w:rFonts w:ascii="Times New Roman" w:eastAsia="仿宋_GB2312" w:hAnsi="Times New Roman" w:cs="Times New Roman" w:hint="eastAsia"/>
          <w:sz w:val="32"/>
          <w:szCs w:val="32"/>
        </w:rPr>
        <w:t>人。另外，有离退休</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人，聘用人员</w:t>
      </w:r>
      <w:r>
        <w:rPr>
          <w:rFonts w:ascii="Times New Roman" w:eastAsia="仿宋_GB2312" w:hAnsi="Times New Roman" w:cs="Times New Roman"/>
          <w:sz w:val="32"/>
          <w:szCs w:val="32"/>
        </w:rPr>
        <w:t>152</w:t>
      </w:r>
      <w:r>
        <w:rPr>
          <w:rFonts w:ascii="Times New Roman" w:eastAsia="仿宋_GB2312" w:hAnsi="Times New Roman" w:cs="Times New Roman" w:hint="eastAsia"/>
          <w:sz w:val="32"/>
          <w:szCs w:val="32"/>
        </w:rPr>
        <w:t>人，后勤服务人员</w:t>
      </w:r>
      <w:r>
        <w:rPr>
          <w:rFonts w:ascii="Times New Roman" w:eastAsia="仿宋_GB2312" w:hAnsi="Times New Roman" w:cs="Times New Roman"/>
          <w:sz w:val="32"/>
          <w:szCs w:val="32"/>
        </w:rPr>
        <w:t>85</w:t>
      </w:r>
      <w:r>
        <w:rPr>
          <w:rFonts w:ascii="Times New Roman" w:eastAsia="仿宋_GB2312" w:hAnsi="Times New Roman" w:cs="Times New Roman" w:hint="eastAsia"/>
          <w:sz w:val="32"/>
          <w:szCs w:val="32"/>
        </w:rPr>
        <w:t>人。</w:t>
      </w:r>
    </w:p>
    <w:p w:rsidR="002D7D75" w:rsidRDefault="002D7D75" w:rsidP="00337859">
      <w:pPr>
        <w:ind w:firstLineChars="200" w:firstLine="31680"/>
        <w:rPr>
          <w:rFonts w:ascii="Times New Roman" w:eastAsia="仿宋_GB2312"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Default="002D7D75">
      <w:pPr>
        <w:jc w:val="center"/>
        <w:rPr>
          <w:rFonts w:ascii="Times New Roman" w:eastAsia="黑体" w:hAnsi="Times New Roman" w:cs="Times New Roman"/>
          <w:sz w:val="32"/>
          <w:szCs w:val="32"/>
        </w:rPr>
      </w:pPr>
    </w:p>
    <w:p w:rsidR="002D7D75" w:rsidRPr="005127E7" w:rsidRDefault="002D7D75">
      <w:pPr>
        <w:jc w:val="center"/>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第二部分</w:t>
      </w:r>
      <w:r w:rsidRPr="005127E7">
        <w:rPr>
          <w:rFonts w:ascii="Times New Roman" w:eastAsia="黑体" w:hAnsi="Times New Roman" w:cs="Times New Roman"/>
          <w:b/>
          <w:sz w:val="32"/>
          <w:szCs w:val="32"/>
        </w:rPr>
        <w:t xml:space="preserve"> 2014</w:t>
      </w:r>
      <w:r w:rsidRPr="005127E7">
        <w:rPr>
          <w:rFonts w:ascii="Times New Roman" w:eastAsia="黑体" w:hAnsi="Times New Roman" w:cs="Times New Roman" w:hint="eastAsia"/>
          <w:b/>
          <w:sz w:val="32"/>
          <w:szCs w:val="32"/>
        </w:rPr>
        <w:t>年部门决算情况说明</w:t>
      </w:r>
    </w:p>
    <w:p w:rsidR="002D7D75" w:rsidRPr="005127E7" w:rsidRDefault="002D7D75" w:rsidP="00337859">
      <w:pPr>
        <w:ind w:firstLineChars="200" w:firstLine="31680"/>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一、</w:t>
      </w:r>
      <w:r w:rsidRPr="005127E7">
        <w:rPr>
          <w:rFonts w:ascii="Times New Roman" w:eastAsia="黑体" w:hAnsi="Times New Roman" w:cs="Times New Roman"/>
          <w:b/>
          <w:sz w:val="32"/>
          <w:szCs w:val="32"/>
        </w:rPr>
        <w:t>2014</w:t>
      </w:r>
      <w:r w:rsidRPr="005127E7">
        <w:rPr>
          <w:rFonts w:ascii="Times New Roman" w:eastAsia="黑体" w:hAnsi="Times New Roman" w:cs="Times New Roman" w:hint="eastAsia"/>
          <w:b/>
          <w:sz w:val="32"/>
          <w:szCs w:val="32"/>
        </w:rPr>
        <w:t>年度部门收入支出决算情况的说明</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财政拨款支出决算情况说明</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本部门</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年度收入总计</w:t>
      </w:r>
      <w:r>
        <w:rPr>
          <w:rFonts w:ascii="Times New Roman" w:eastAsia="仿宋_GB2312" w:hAnsi="Times New Roman" w:cs="Times New Roman"/>
          <w:sz w:val="32"/>
          <w:szCs w:val="32"/>
        </w:rPr>
        <w:t>10246.5</w:t>
      </w:r>
      <w:r>
        <w:rPr>
          <w:rFonts w:ascii="Times New Roman" w:eastAsia="仿宋_GB2312" w:hAnsi="Times New Roman" w:cs="Times New Roman" w:hint="eastAsia"/>
          <w:sz w:val="32"/>
          <w:szCs w:val="32"/>
        </w:rPr>
        <w:t>万元，支出总计</w:t>
      </w:r>
      <w:r>
        <w:rPr>
          <w:rFonts w:ascii="Times New Roman" w:eastAsia="仿宋_GB2312" w:hAnsi="Times New Roman" w:cs="Times New Roman"/>
          <w:sz w:val="32"/>
          <w:szCs w:val="32"/>
        </w:rPr>
        <w:t>9701.02</w:t>
      </w:r>
      <w:r>
        <w:rPr>
          <w:rFonts w:ascii="Times New Roman" w:eastAsia="仿宋_GB2312" w:hAnsi="Times New Roman" w:cs="Times New Roman" w:hint="eastAsia"/>
          <w:sz w:val="32"/>
          <w:szCs w:val="32"/>
        </w:rPr>
        <w:t>万元。收入方面，财政拨款收入</w:t>
      </w:r>
      <w:r>
        <w:rPr>
          <w:rFonts w:ascii="Times New Roman" w:eastAsia="仿宋_GB2312" w:hAnsi="Times New Roman" w:cs="Times New Roman"/>
          <w:sz w:val="32"/>
          <w:szCs w:val="32"/>
        </w:rPr>
        <w:t>9438.65</w:t>
      </w:r>
      <w:r>
        <w:rPr>
          <w:rFonts w:ascii="Times New Roman" w:eastAsia="仿宋_GB2312" w:hAnsi="Times New Roman" w:cs="Times New Roman" w:hint="eastAsia"/>
          <w:sz w:val="32"/>
          <w:szCs w:val="32"/>
        </w:rPr>
        <w:t>万元，上年结转和结余</w:t>
      </w:r>
      <w:r>
        <w:rPr>
          <w:rFonts w:ascii="Times New Roman" w:eastAsia="仿宋_GB2312" w:hAnsi="Times New Roman" w:cs="Times New Roman"/>
          <w:sz w:val="32"/>
          <w:szCs w:val="32"/>
        </w:rPr>
        <w:t>807.89</w:t>
      </w:r>
      <w:r>
        <w:rPr>
          <w:rFonts w:ascii="Times New Roman" w:eastAsia="仿宋_GB2312" w:hAnsi="Times New Roman" w:cs="Times New Roman" w:hint="eastAsia"/>
          <w:sz w:val="32"/>
          <w:szCs w:val="32"/>
        </w:rPr>
        <w:t>万元。支出方面，其中基本支出</w:t>
      </w:r>
      <w:r>
        <w:rPr>
          <w:rFonts w:ascii="Times New Roman" w:eastAsia="仿宋_GB2312" w:hAnsi="Times New Roman" w:cs="Times New Roman"/>
          <w:sz w:val="32"/>
          <w:szCs w:val="32"/>
        </w:rPr>
        <w:t>5976.79</w:t>
      </w:r>
      <w:r>
        <w:rPr>
          <w:rFonts w:ascii="Times New Roman" w:eastAsia="仿宋_GB2312" w:hAnsi="Times New Roman" w:cs="Times New Roman" w:hint="eastAsia"/>
          <w:sz w:val="32"/>
          <w:szCs w:val="32"/>
        </w:rPr>
        <w:t>万元，项目支出</w:t>
      </w:r>
      <w:r>
        <w:rPr>
          <w:rFonts w:ascii="Times New Roman" w:eastAsia="仿宋_GB2312" w:hAnsi="Times New Roman" w:cs="Times New Roman"/>
          <w:sz w:val="32"/>
          <w:szCs w:val="32"/>
        </w:rPr>
        <w:t>3724.23</w:t>
      </w:r>
      <w:r>
        <w:rPr>
          <w:rFonts w:ascii="Times New Roman" w:eastAsia="仿宋_GB2312" w:hAnsi="Times New Roman" w:cs="Times New Roman" w:hint="eastAsia"/>
          <w:sz w:val="32"/>
          <w:szCs w:val="32"/>
        </w:rPr>
        <w:t>万元。本年结转和结余</w:t>
      </w:r>
      <w:r>
        <w:rPr>
          <w:rFonts w:ascii="Times New Roman" w:eastAsia="仿宋_GB2312" w:hAnsi="Times New Roman" w:cs="Times New Roman"/>
          <w:sz w:val="32"/>
          <w:szCs w:val="32"/>
        </w:rPr>
        <w:t>545.52</w:t>
      </w:r>
      <w:r>
        <w:rPr>
          <w:rFonts w:ascii="Times New Roman" w:eastAsia="仿宋_GB2312" w:hAnsi="Times New Roman" w:cs="Times New Roman" w:hint="eastAsia"/>
          <w:sz w:val="32"/>
          <w:szCs w:val="32"/>
        </w:rPr>
        <w:t>万元。</w:t>
      </w:r>
    </w:p>
    <w:p w:rsidR="002D7D75" w:rsidRPr="005127E7" w:rsidRDefault="002D7D75" w:rsidP="00337859">
      <w:pPr>
        <w:ind w:firstLineChars="200" w:firstLine="31680"/>
        <w:rPr>
          <w:rFonts w:ascii="Times New Roman" w:eastAsia="仿宋_GB2312" w:hAnsi="Times New Roman" w:cs="Times New Roman"/>
          <w:b/>
          <w:sz w:val="32"/>
          <w:szCs w:val="32"/>
        </w:rPr>
      </w:pPr>
      <w:r w:rsidRPr="005127E7">
        <w:rPr>
          <w:rFonts w:ascii="Times New Roman" w:eastAsia="黑体" w:hAnsi="Times New Roman" w:cs="Times New Roman" w:hint="eastAsia"/>
          <w:b/>
          <w:sz w:val="32"/>
          <w:szCs w:val="32"/>
        </w:rPr>
        <w:t>二、</w:t>
      </w:r>
      <w:r w:rsidRPr="005127E7">
        <w:rPr>
          <w:rFonts w:ascii="Times New Roman" w:eastAsia="黑体" w:hAnsi="Times New Roman" w:cs="Times New Roman"/>
          <w:b/>
          <w:sz w:val="32"/>
          <w:szCs w:val="32"/>
        </w:rPr>
        <w:t>2014</w:t>
      </w:r>
      <w:r w:rsidRPr="005127E7">
        <w:rPr>
          <w:rFonts w:ascii="Times New Roman" w:eastAsia="黑体" w:hAnsi="Times New Roman" w:cs="Times New Roman" w:hint="eastAsia"/>
          <w:b/>
          <w:sz w:val="32"/>
          <w:szCs w:val="32"/>
        </w:rPr>
        <w:t>年一般公共预算</w:t>
      </w:r>
      <w:r w:rsidRPr="005127E7">
        <w:rPr>
          <w:rFonts w:ascii="Times New Roman" w:eastAsia="黑体" w:hAnsi="Times New Roman" w:cs="Times New Roman"/>
          <w:b/>
          <w:sz w:val="32"/>
          <w:szCs w:val="32"/>
        </w:rPr>
        <w:t>“</w:t>
      </w:r>
      <w:r w:rsidRPr="005127E7">
        <w:rPr>
          <w:rFonts w:ascii="Times New Roman" w:eastAsia="黑体" w:hAnsi="Times New Roman" w:cs="Times New Roman" w:hint="eastAsia"/>
          <w:b/>
          <w:sz w:val="32"/>
          <w:szCs w:val="32"/>
        </w:rPr>
        <w:t>三公</w:t>
      </w:r>
      <w:r w:rsidRPr="005127E7">
        <w:rPr>
          <w:rFonts w:ascii="Times New Roman" w:eastAsia="黑体" w:hAnsi="Times New Roman" w:cs="Times New Roman"/>
          <w:b/>
          <w:sz w:val="32"/>
          <w:szCs w:val="32"/>
        </w:rPr>
        <w:t>”</w:t>
      </w:r>
      <w:r w:rsidRPr="005127E7">
        <w:rPr>
          <w:rFonts w:ascii="Times New Roman" w:eastAsia="黑体" w:hAnsi="Times New Roman" w:cs="Times New Roman" w:hint="eastAsia"/>
          <w:b/>
          <w:sz w:val="32"/>
          <w:szCs w:val="32"/>
        </w:rPr>
        <w:t>经费支出情况说明</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（一）“三公”经费预算与决算情况对比说明</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本部门</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年度“三公”经费支出预算为</w:t>
      </w:r>
      <w:r>
        <w:rPr>
          <w:rFonts w:ascii="Times New Roman" w:eastAsia="仿宋_GB2312" w:hAnsi="Times New Roman" w:cs="Times New Roman"/>
          <w:sz w:val="32"/>
          <w:szCs w:val="32"/>
        </w:rPr>
        <w:t>200</w:t>
      </w:r>
      <w:r>
        <w:rPr>
          <w:rFonts w:ascii="Times New Roman" w:eastAsia="仿宋_GB2312" w:hAnsi="Times New Roman" w:cs="Times New Roman" w:hint="eastAsia"/>
          <w:sz w:val="32"/>
          <w:szCs w:val="32"/>
        </w:rPr>
        <w:t>万元，支出决算为</w:t>
      </w:r>
      <w:r>
        <w:rPr>
          <w:rFonts w:ascii="Times New Roman" w:eastAsia="仿宋_GB2312" w:hAnsi="Times New Roman" w:cs="Times New Roman"/>
          <w:sz w:val="32"/>
          <w:szCs w:val="32"/>
        </w:rPr>
        <w:t>154.87</w:t>
      </w:r>
      <w:r>
        <w:rPr>
          <w:rFonts w:ascii="Times New Roman" w:eastAsia="仿宋_GB2312" w:hAnsi="Times New Roman" w:cs="Times New Roman" w:hint="eastAsia"/>
          <w:sz w:val="32"/>
          <w:szCs w:val="32"/>
        </w:rPr>
        <w:t>万元，完成预算的</w:t>
      </w:r>
      <w:r>
        <w:rPr>
          <w:rFonts w:ascii="Times New Roman" w:eastAsia="仿宋_GB2312" w:hAnsi="Times New Roman" w:cs="Times New Roman"/>
          <w:sz w:val="32"/>
          <w:szCs w:val="32"/>
        </w:rPr>
        <w:t>77.43%</w:t>
      </w:r>
      <w:r>
        <w:rPr>
          <w:rFonts w:ascii="Times New Roman" w:eastAsia="仿宋_GB2312" w:hAnsi="Times New Roman" w:cs="Times New Roman" w:hint="eastAsia"/>
          <w:sz w:val="32"/>
          <w:szCs w:val="32"/>
        </w:rPr>
        <w:t>，其中：因公出国（境）费用</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万元，完成预算的</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；公车购置费</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万元，完成预算的</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；公车运行维护费</w:t>
      </w:r>
      <w:r>
        <w:rPr>
          <w:rFonts w:ascii="Times New Roman" w:eastAsia="仿宋_GB2312" w:hAnsi="Times New Roman" w:cs="Times New Roman"/>
          <w:sz w:val="32"/>
          <w:szCs w:val="32"/>
        </w:rPr>
        <w:t>152.42</w:t>
      </w:r>
      <w:r>
        <w:rPr>
          <w:rFonts w:ascii="Times New Roman" w:eastAsia="仿宋_GB2312" w:hAnsi="Times New Roman" w:cs="Times New Roman" w:hint="eastAsia"/>
          <w:sz w:val="32"/>
          <w:szCs w:val="32"/>
        </w:rPr>
        <w:t>万元，完成预算的</w:t>
      </w:r>
      <w:r>
        <w:rPr>
          <w:rFonts w:ascii="Times New Roman" w:eastAsia="仿宋_GB2312" w:hAnsi="Times New Roman" w:cs="Times New Roman"/>
          <w:sz w:val="32"/>
          <w:szCs w:val="32"/>
        </w:rPr>
        <w:t>89.66%</w:t>
      </w:r>
      <w:r>
        <w:rPr>
          <w:rFonts w:ascii="Times New Roman" w:eastAsia="仿宋_GB2312" w:hAnsi="Times New Roman" w:cs="Times New Roman" w:hint="eastAsia"/>
          <w:sz w:val="32"/>
          <w:szCs w:val="32"/>
        </w:rPr>
        <w:t>；公务接待费</w:t>
      </w:r>
      <w:r>
        <w:rPr>
          <w:rFonts w:ascii="Times New Roman" w:eastAsia="仿宋_GB2312" w:hAnsi="Times New Roman" w:cs="Times New Roman"/>
          <w:sz w:val="32"/>
          <w:szCs w:val="32"/>
        </w:rPr>
        <w:t>2.45</w:t>
      </w:r>
      <w:r>
        <w:rPr>
          <w:rFonts w:ascii="Times New Roman" w:eastAsia="仿宋_GB2312" w:hAnsi="Times New Roman" w:cs="Times New Roman" w:hint="eastAsia"/>
          <w:sz w:val="32"/>
          <w:szCs w:val="32"/>
        </w:rPr>
        <w:t>万元，完成预算的</w:t>
      </w:r>
      <w:r>
        <w:rPr>
          <w:rFonts w:ascii="Times New Roman" w:eastAsia="仿宋_GB2312" w:hAnsi="Times New Roman" w:cs="Times New Roman"/>
          <w:sz w:val="32"/>
          <w:szCs w:val="32"/>
        </w:rPr>
        <w:t>8.16%</w:t>
      </w:r>
      <w:r>
        <w:rPr>
          <w:rFonts w:ascii="Times New Roman" w:eastAsia="仿宋_GB2312" w:hAnsi="Times New Roman" w:cs="Times New Roman" w:hint="eastAsia"/>
          <w:sz w:val="32"/>
          <w:szCs w:val="32"/>
        </w:rPr>
        <w:t>。</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年度“三公”经费支出决算少于预算的主要原因是认真贯彻落实中央八项规定精神和厉行节约要求，进一步从严控制“三公”经费开支，全年实际支出比预算有所节约。（二）“三公”支出决算具体情况说明</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年，本部门“三公”经费支出合计</w:t>
      </w:r>
      <w:r>
        <w:rPr>
          <w:rFonts w:ascii="Times New Roman" w:eastAsia="仿宋_GB2312" w:hAnsi="Times New Roman" w:cs="Times New Roman"/>
          <w:sz w:val="32"/>
          <w:szCs w:val="32"/>
        </w:rPr>
        <w:t>154.87</w:t>
      </w:r>
      <w:r>
        <w:rPr>
          <w:rFonts w:ascii="Times New Roman" w:eastAsia="仿宋_GB2312" w:hAnsi="Times New Roman" w:cs="Times New Roman" w:hint="eastAsia"/>
          <w:sz w:val="32"/>
          <w:szCs w:val="32"/>
        </w:rPr>
        <w:t>万元，其中：</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（一）因公出国（境）费用支出</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万元，全年出国（境）团组</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个、</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人次。</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（二）公车购置费支出</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万元，用于购置公车</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辆</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（三）公车运行维护费支出</w:t>
      </w:r>
      <w:r>
        <w:rPr>
          <w:rFonts w:ascii="Times New Roman" w:eastAsia="仿宋_GB2312" w:hAnsi="Times New Roman" w:cs="Times New Roman"/>
          <w:sz w:val="32"/>
          <w:szCs w:val="32"/>
        </w:rPr>
        <w:t>152.42</w:t>
      </w:r>
      <w:r>
        <w:rPr>
          <w:rFonts w:ascii="Times New Roman" w:eastAsia="仿宋_GB2312" w:hAnsi="Times New Roman" w:cs="Times New Roman" w:hint="eastAsia"/>
          <w:sz w:val="32"/>
          <w:szCs w:val="32"/>
        </w:rPr>
        <w:t>万元，比</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年预算减少</w:t>
      </w:r>
      <w:r>
        <w:rPr>
          <w:rFonts w:ascii="Times New Roman" w:eastAsia="仿宋_GB2312" w:hAnsi="Times New Roman" w:cs="Times New Roman"/>
          <w:sz w:val="32"/>
          <w:szCs w:val="32"/>
        </w:rPr>
        <w:t>17.58</w:t>
      </w:r>
      <w:r>
        <w:rPr>
          <w:rFonts w:ascii="Times New Roman" w:eastAsia="仿宋_GB2312" w:hAnsi="Times New Roman" w:cs="Times New Roman" w:hint="eastAsia"/>
          <w:sz w:val="32"/>
          <w:szCs w:val="32"/>
        </w:rPr>
        <w:t>万元，降低</w:t>
      </w:r>
      <w:r>
        <w:rPr>
          <w:rFonts w:ascii="Times New Roman" w:eastAsia="仿宋_GB2312" w:hAnsi="Times New Roman" w:cs="Times New Roman"/>
          <w:sz w:val="32"/>
          <w:szCs w:val="32"/>
        </w:rPr>
        <w:t>10.34%</w:t>
      </w:r>
      <w:r>
        <w:rPr>
          <w:rFonts w:ascii="Times New Roman" w:eastAsia="仿宋_GB2312" w:hAnsi="Times New Roman" w:cs="Times New Roman" w:hint="eastAsia"/>
          <w:sz w:val="32"/>
          <w:szCs w:val="32"/>
        </w:rPr>
        <w:t>。截至</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年底，本单位共有公车</w:t>
      </w:r>
      <w:r>
        <w:rPr>
          <w:rFonts w:ascii="Times New Roman" w:eastAsia="仿宋_GB2312" w:hAnsi="Times New Roman" w:cs="Times New Roman"/>
          <w:sz w:val="32"/>
          <w:szCs w:val="32"/>
        </w:rPr>
        <w:t>41</w:t>
      </w:r>
      <w:r>
        <w:rPr>
          <w:rFonts w:ascii="Times New Roman" w:eastAsia="仿宋_GB2312" w:hAnsi="Times New Roman" w:cs="Times New Roman" w:hint="eastAsia"/>
          <w:sz w:val="32"/>
          <w:szCs w:val="32"/>
        </w:rPr>
        <w:t>辆。</w:t>
      </w:r>
    </w:p>
    <w:p w:rsidR="002D7D75" w:rsidRDefault="002D7D75" w:rsidP="00337859">
      <w:pPr>
        <w:ind w:firstLineChars="200" w:firstLine="316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（四）公务接待费支出</w:t>
      </w:r>
      <w:r>
        <w:rPr>
          <w:rFonts w:ascii="Times New Roman" w:eastAsia="仿宋_GB2312" w:hAnsi="Times New Roman" w:cs="Times New Roman"/>
          <w:sz w:val="32"/>
          <w:szCs w:val="32"/>
        </w:rPr>
        <w:t>2.45</w:t>
      </w:r>
      <w:r>
        <w:rPr>
          <w:rFonts w:ascii="Times New Roman" w:eastAsia="仿宋_GB2312" w:hAnsi="Times New Roman" w:cs="Times New Roman" w:hint="eastAsia"/>
          <w:sz w:val="32"/>
          <w:szCs w:val="32"/>
        </w:rPr>
        <w:t>万元，全年共接待</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批次、</w:t>
      </w:r>
      <w:r>
        <w:rPr>
          <w:rFonts w:ascii="Times New Roman" w:eastAsia="仿宋_GB2312" w:hAnsi="Times New Roman" w:cs="Times New Roman"/>
          <w:sz w:val="32"/>
          <w:szCs w:val="32"/>
        </w:rPr>
        <w:t>150</w:t>
      </w:r>
      <w:r>
        <w:rPr>
          <w:rFonts w:ascii="Times New Roman" w:eastAsia="仿宋_GB2312" w:hAnsi="Times New Roman" w:cs="Times New Roman" w:hint="eastAsia"/>
          <w:sz w:val="32"/>
          <w:szCs w:val="32"/>
        </w:rPr>
        <w:t>人次，比</w:t>
      </w:r>
      <w:r>
        <w:rPr>
          <w:rFonts w:ascii="Times New Roman" w:eastAsia="仿宋_GB2312" w:hAnsi="Times New Roman" w:cs="Times New Roman"/>
          <w:sz w:val="32"/>
          <w:szCs w:val="32"/>
        </w:rPr>
        <w:t>2014</w:t>
      </w:r>
      <w:r>
        <w:rPr>
          <w:rFonts w:ascii="Times New Roman" w:eastAsia="仿宋_GB2312" w:hAnsi="Times New Roman" w:cs="Times New Roman" w:hint="eastAsia"/>
          <w:sz w:val="32"/>
          <w:szCs w:val="32"/>
        </w:rPr>
        <w:t>年预算减少</w:t>
      </w:r>
      <w:r>
        <w:rPr>
          <w:rFonts w:ascii="Times New Roman" w:eastAsia="仿宋_GB2312" w:hAnsi="Times New Roman" w:cs="Times New Roman"/>
          <w:sz w:val="32"/>
          <w:szCs w:val="32"/>
        </w:rPr>
        <w:t>27.55</w:t>
      </w:r>
      <w:r>
        <w:rPr>
          <w:rFonts w:ascii="Times New Roman" w:eastAsia="仿宋_GB2312" w:hAnsi="Times New Roman" w:cs="Times New Roman" w:hint="eastAsia"/>
          <w:sz w:val="32"/>
          <w:szCs w:val="32"/>
        </w:rPr>
        <w:t>万元，降低</w:t>
      </w:r>
      <w:r>
        <w:rPr>
          <w:rFonts w:ascii="Times New Roman" w:eastAsia="仿宋_GB2312" w:hAnsi="Times New Roman" w:cs="Times New Roman"/>
          <w:sz w:val="32"/>
          <w:szCs w:val="32"/>
        </w:rPr>
        <w:t>91.84%</w:t>
      </w:r>
      <w:r>
        <w:rPr>
          <w:rFonts w:ascii="Times New Roman" w:eastAsia="仿宋_GB2312" w:hAnsi="Times New Roman" w:cs="Times New Roman" w:hint="eastAsia"/>
          <w:sz w:val="32"/>
          <w:szCs w:val="32"/>
        </w:rPr>
        <w:t>。</w:t>
      </w:r>
    </w:p>
    <w:p w:rsidR="002D7D75" w:rsidRDefault="002D7D75">
      <w:pPr>
        <w:rPr>
          <w:rFonts w:ascii="Times New Roman" w:eastAsia="仿宋_GB2312" w:hAnsi="Times New Roman" w:cs="Times New Roman"/>
          <w:sz w:val="32"/>
          <w:szCs w:val="32"/>
        </w:rPr>
      </w:pPr>
    </w:p>
    <w:p w:rsidR="002D7D75" w:rsidRDefault="002D7D75">
      <w:pPr>
        <w:rPr>
          <w:rFonts w:ascii="Times New Roman" w:eastAsia="仿宋_GB2312" w:hAnsi="Times New Roman" w:cs="Times New Roman"/>
          <w:sz w:val="32"/>
          <w:szCs w:val="32"/>
        </w:rPr>
      </w:pPr>
      <w:bookmarkStart w:id="0" w:name="_GoBack"/>
      <w:bookmarkEnd w:id="0"/>
    </w:p>
    <w:p w:rsidR="002D7D75" w:rsidRDefault="002D7D75">
      <w:pPr>
        <w:rPr>
          <w:rFonts w:ascii="Times New Roman" w:eastAsia="仿宋_GB2312" w:hAnsi="Times New Roman" w:cs="Times New Roman"/>
          <w:sz w:val="32"/>
          <w:szCs w:val="32"/>
        </w:rPr>
      </w:pPr>
    </w:p>
    <w:p w:rsidR="002D7D75" w:rsidRDefault="002D7D75">
      <w:pPr>
        <w:rPr>
          <w:rFonts w:ascii="Times New Roman" w:eastAsia="仿宋_GB2312" w:hAnsi="Times New Roman" w:cs="Times New Roman"/>
          <w:sz w:val="32"/>
          <w:szCs w:val="32"/>
        </w:rPr>
      </w:pPr>
    </w:p>
    <w:p w:rsidR="002D7D75" w:rsidRPr="005127E7" w:rsidRDefault="002D7D75">
      <w:pPr>
        <w:jc w:val="center"/>
        <w:rPr>
          <w:rFonts w:ascii="Times New Roman" w:eastAsia="黑体" w:hAnsi="Times New Roman" w:cs="Times New Roman"/>
          <w:b/>
          <w:sz w:val="32"/>
          <w:szCs w:val="32"/>
        </w:rPr>
      </w:pPr>
      <w:r w:rsidRPr="005127E7">
        <w:rPr>
          <w:rFonts w:ascii="Times New Roman" w:eastAsia="黑体" w:hAnsi="Times New Roman" w:cs="Times New Roman" w:hint="eastAsia"/>
          <w:b/>
          <w:sz w:val="32"/>
          <w:szCs w:val="32"/>
        </w:rPr>
        <w:t>第三部分</w:t>
      </w:r>
      <w:r w:rsidRPr="005127E7">
        <w:rPr>
          <w:rFonts w:ascii="Times New Roman" w:eastAsia="黑体" w:hAnsi="Times New Roman" w:cs="Times New Roman"/>
          <w:b/>
          <w:sz w:val="32"/>
          <w:szCs w:val="32"/>
        </w:rPr>
        <w:t xml:space="preserve"> 2014</w:t>
      </w:r>
      <w:r w:rsidRPr="005127E7">
        <w:rPr>
          <w:rFonts w:ascii="Times New Roman" w:eastAsia="黑体" w:hAnsi="Times New Roman" w:cs="Times New Roman" w:hint="eastAsia"/>
          <w:b/>
          <w:sz w:val="32"/>
          <w:szCs w:val="32"/>
        </w:rPr>
        <w:t>年部门决算表</w:t>
      </w:r>
    </w:p>
    <w:p w:rsidR="002D7D75" w:rsidRDefault="002D7D75" w:rsidP="00337859">
      <w:pPr>
        <w:ind w:firstLineChars="200" w:firstLine="31680"/>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详见</w:t>
      </w:r>
      <w:r>
        <w:rPr>
          <w:rFonts w:ascii="仿宋_GB2312" w:eastAsia="仿宋_GB2312" w:hAnsi="Times New Roman" w:cs="Times New Roman" w:hint="eastAsia"/>
          <w:sz w:val="32"/>
          <w:szCs w:val="32"/>
        </w:rPr>
        <w:t>决算</w:t>
      </w:r>
      <w:r>
        <w:rPr>
          <w:rFonts w:ascii="Times New Roman" w:eastAsia="仿宋_GB2312" w:hAnsi="Times New Roman" w:cs="Times New Roman" w:hint="eastAsia"/>
          <w:sz w:val="32"/>
          <w:szCs w:val="32"/>
        </w:rPr>
        <w:t>表</w:t>
      </w:r>
      <w:r>
        <w:rPr>
          <w:rFonts w:ascii="Times New Roman" w:eastAsia="仿宋_GB2312" w:hAnsi="Times New Roman" w:cs="Times New Roman"/>
          <w:sz w:val="32"/>
          <w:szCs w:val="32"/>
        </w:rPr>
        <w:t>1-8</w:t>
      </w:r>
      <w:r>
        <w:rPr>
          <w:rFonts w:ascii="Times New Roman" w:eastAsia="仿宋_GB2312" w:hAnsi="Times New Roman" w:cs="Times New Roman" w:hint="eastAsia"/>
          <w:sz w:val="32"/>
          <w:szCs w:val="32"/>
        </w:rPr>
        <w:t>，请参见附件。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6854"/>
      </w:tblGrid>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Times New Roman" w:eastAsia="仿宋_GB2312" w:hAnsi="Times New Roman" w:cs="Times New Roman" w:hint="eastAsia"/>
                <w:sz w:val="32"/>
                <w:szCs w:val="32"/>
              </w:rPr>
              <w:t>表号</w:t>
            </w:r>
          </w:p>
        </w:tc>
        <w:tc>
          <w:tcPr>
            <w:tcW w:w="6854"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Times New Roman" w:eastAsia="仿宋_GB2312" w:hAnsi="Times New Roman" w:cs="Times New Roman" w:hint="eastAsia"/>
                <w:sz w:val="32"/>
                <w:szCs w:val="32"/>
              </w:rPr>
              <w:t>表名</w:t>
            </w:r>
          </w:p>
        </w:tc>
      </w:tr>
      <w:tr w:rsidR="002D7D75" w:rsidTr="005127E7">
        <w:trPr>
          <w:jc w:val="center"/>
        </w:trPr>
        <w:tc>
          <w:tcPr>
            <w:tcW w:w="1668" w:type="dxa"/>
          </w:tcPr>
          <w:p w:rsidR="002D7D75" w:rsidRPr="00FA2670" w:rsidRDefault="002D7D75" w:rsidP="00FA2670">
            <w:pPr>
              <w:jc w:val="center"/>
              <w:rPr>
                <w:rFonts w:ascii="仿宋_GB2312" w:eastAsia="仿宋_GB2312" w:hAnsi="Times New Roman" w:cs="Times New Roman"/>
                <w:sz w:val="32"/>
                <w:szCs w:val="32"/>
              </w:rPr>
            </w:pPr>
            <w:r w:rsidRPr="00FA2670">
              <w:rPr>
                <w:rFonts w:ascii="仿宋_GB2312" w:eastAsia="仿宋_GB2312" w:hAnsi="Times New Roman" w:cs="Times New Roman" w:hint="eastAsia"/>
                <w:sz w:val="32"/>
                <w:szCs w:val="32"/>
              </w:rPr>
              <w:t>决算表</w:t>
            </w:r>
            <w:r w:rsidRPr="00FA2670">
              <w:rPr>
                <w:rFonts w:ascii="Times New Roman" w:eastAsia="仿宋_GB2312" w:hAnsi="Times New Roman" w:cs="Times New Roman"/>
                <w:sz w:val="32"/>
                <w:szCs w:val="32"/>
              </w:rPr>
              <w:t>1</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收入支出决算总表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2</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收入决算表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3</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支出决算表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4</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财政拨款收入支出决算总表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5</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一般公共预算财政拨款支出决算表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6</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一般公共预算财政拨款基本支出决算表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7</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一般公共预算财政拨款“三公”经费支出决算表</w:t>
            </w:r>
          </w:p>
        </w:tc>
      </w:tr>
      <w:tr w:rsidR="002D7D75" w:rsidTr="005127E7">
        <w:trPr>
          <w:jc w:val="center"/>
        </w:trPr>
        <w:tc>
          <w:tcPr>
            <w:tcW w:w="1668" w:type="dxa"/>
          </w:tcPr>
          <w:p w:rsidR="002D7D75" w:rsidRPr="00FA2670" w:rsidRDefault="002D7D75" w:rsidP="00FA2670">
            <w:pPr>
              <w:jc w:val="center"/>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决算</w:t>
            </w:r>
            <w:r w:rsidRPr="00FA2670">
              <w:rPr>
                <w:rFonts w:ascii="Times New Roman" w:eastAsia="仿宋_GB2312" w:hAnsi="Times New Roman" w:cs="Times New Roman" w:hint="eastAsia"/>
                <w:sz w:val="32"/>
                <w:szCs w:val="32"/>
              </w:rPr>
              <w:t>表</w:t>
            </w:r>
            <w:r w:rsidRPr="00FA2670">
              <w:rPr>
                <w:rFonts w:ascii="Times New Roman" w:eastAsia="仿宋_GB2312" w:hAnsi="Times New Roman" w:cs="Times New Roman"/>
                <w:sz w:val="32"/>
                <w:szCs w:val="32"/>
              </w:rPr>
              <w:t>8</w:t>
            </w:r>
          </w:p>
        </w:tc>
        <w:tc>
          <w:tcPr>
            <w:tcW w:w="6854" w:type="dxa"/>
          </w:tcPr>
          <w:p w:rsidR="002D7D75" w:rsidRPr="00FA2670" w:rsidRDefault="002D7D75" w:rsidP="00FA2670">
            <w:pPr>
              <w:jc w:val="left"/>
              <w:rPr>
                <w:rFonts w:ascii="Times New Roman" w:eastAsia="仿宋_GB2312" w:hAnsi="Times New Roman" w:cs="Times New Roman"/>
                <w:sz w:val="32"/>
                <w:szCs w:val="32"/>
              </w:rPr>
            </w:pPr>
            <w:r w:rsidRPr="00FA2670">
              <w:rPr>
                <w:rFonts w:ascii="仿宋_GB2312" w:eastAsia="仿宋_GB2312" w:hAnsi="Times New Roman" w:cs="Times New Roman" w:hint="eastAsia"/>
                <w:sz w:val="32"/>
                <w:szCs w:val="32"/>
              </w:rPr>
              <w:t>政府性基金预算财政拨款收入支出决算表</w:t>
            </w:r>
          </w:p>
        </w:tc>
      </w:tr>
    </w:tbl>
    <w:p w:rsidR="002D7D75" w:rsidRDefault="002D7D75">
      <w:pPr>
        <w:rPr>
          <w:rFonts w:ascii="Times New Roman" w:eastAsia="仿宋_GB2312" w:hAnsi="Times New Roman" w:cs="Times New Roman"/>
          <w:sz w:val="32"/>
          <w:szCs w:val="32"/>
        </w:rPr>
      </w:pPr>
    </w:p>
    <w:sectPr w:rsidR="002D7D75" w:rsidSect="005F6CA3">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D75" w:rsidRDefault="002D7D75" w:rsidP="005F6CA3">
      <w:r>
        <w:separator/>
      </w:r>
    </w:p>
  </w:endnote>
  <w:endnote w:type="continuationSeparator" w:id="0">
    <w:p w:rsidR="002D7D75" w:rsidRDefault="002D7D75" w:rsidP="005F6C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75" w:rsidRDefault="002D7D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D75" w:rsidRDefault="002D7D75" w:rsidP="005F6CA3">
      <w:r>
        <w:separator/>
      </w:r>
    </w:p>
  </w:footnote>
  <w:footnote w:type="continuationSeparator" w:id="0">
    <w:p w:rsidR="002D7D75" w:rsidRDefault="002D7D75" w:rsidP="005F6C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2412"/>
    <w:rsid w:val="00091651"/>
    <w:rsid w:val="000D6C81"/>
    <w:rsid w:val="001519AD"/>
    <w:rsid w:val="00156ACC"/>
    <w:rsid w:val="0016144D"/>
    <w:rsid w:val="00180F1F"/>
    <w:rsid w:val="00203959"/>
    <w:rsid w:val="00203E5A"/>
    <w:rsid w:val="00203FBC"/>
    <w:rsid w:val="00216625"/>
    <w:rsid w:val="002300D7"/>
    <w:rsid w:val="00256189"/>
    <w:rsid w:val="00267C10"/>
    <w:rsid w:val="002B5CF3"/>
    <w:rsid w:val="002D7D75"/>
    <w:rsid w:val="002E7906"/>
    <w:rsid w:val="002F04EF"/>
    <w:rsid w:val="00326CB1"/>
    <w:rsid w:val="00337859"/>
    <w:rsid w:val="003402E4"/>
    <w:rsid w:val="00347B34"/>
    <w:rsid w:val="0036701B"/>
    <w:rsid w:val="003809AC"/>
    <w:rsid w:val="00381456"/>
    <w:rsid w:val="00382412"/>
    <w:rsid w:val="00396D98"/>
    <w:rsid w:val="0041378F"/>
    <w:rsid w:val="00451C48"/>
    <w:rsid w:val="00470393"/>
    <w:rsid w:val="004A1C5C"/>
    <w:rsid w:val="004A2B86"/>
    <w:rsid w:val="004E37FD"/>
    <w:rsid w:val="005127E7"/>
    <w:rsid w:val="005156A2"/>
    <w:rsid w:val="00521DC7"/>
    <w:rsid w:val="00550794"/>
    <w:rsid w:val="00592CE7"/>
    <w:rsid w:val="00594D9D"/>
    <w:rsid w:val="005B0BEE"/>
    <w:rsid w:val="005F1CEA"/>
    <w:rsid w:val="005F6CA3"/>
    <w:rsid w:val="00645FE2"/>
    <w:rsid w:val="00647005"/>
    <w:rsid w:val="006641FD"/>
    <w:rsid w:val="00671B7E"/>
    <w:rsid w:val="00681FB1"/>
    <w:rsid w:val="006B03BF"/>
    <w:rsid w:val="00702D73"/>
    <w:rsid w:val="00712D1F"/>
    <w:rsid w:val="007171AD"/>
    <w:rsid w:val="00744C8D"/>
    <w:rsid w:val="00774D1D"/>
    <w:rsid w:val="007822D5"/>
    <w:rsid w:val="007937E4"/>
    <w:rsid w:val="007E292D"/>
    <w:rsid w:val="008206E1"/>
    <w:rsid w:val="008408EC"/>
    <w:rsid w:val="00883E5C"/>
    <w:rsid w:val="008903A2"/>
    <w:rsid w:val="008B4575"/>
    <w:rsid w:val="008D1C3E"/>
    <w:rsid w:val="008D6AFE"/>
    <w:rsid w:val="00902728"/>
    <w:rsid w:val="00915EA7"/>
    <w:rsid w:val="009A1C21"/>
    <w:rsid w:val="009B5280"/>
    <w:rsid w:val="009C339A"/>
    <w:rsid w:val="00A111B0"/>
    <w:rsid w:val="00A344E0"/>
    <w:rsid w:val="00A43237"/>
    <w:rsid w:val="00A7207A"/>
    <w:rsid w:val="00AB4A48"/>
    <w:rsid w:val="00B071F5"/>
    <w:rsid w:val="00B113F5"/>
    <w:rsid w:val="00B15430"/>
    <w:rsid w:val="00B329A5"/>
    <w:rsid w:val="00B73A19"/>
    <w:rsid w:val="00B7737B"/>
    <w:rsid w:val="00B81F23"/>
    <w:rsid w:val="00BD6A8F"/>
    <w:rsid w:val="00C57F59"/>
    <w:rsid w:val="00C62410"/>
    <w:rsid w:val="00C76610"/>
    <w:rsid w:val="00D03AA3"/>
    <w:rsid w:val="00D25B82"/>
    <w:rsid w:val="00D37959"/>
    <w:rsid w:val="00DA7C17"/>
    <w:rsid w:val="00DB55CE"/>
    <w:rsid w:val="00DF26D6"/>
    <w:rsid w:val="00DF52EA"/>
    <w:rsid w:val="00E13867"/>
    <w:rsid w:val="00E22E67"/>
    <w:rsid w:val="00E36EDD"/>
    <w:rsid w:val="00E60A59"/>
    <w:rsid w:val="00E66D5E"/>
    <w:rsid w:val="00E77156"/>
    <w:rsid w:val="00E83E39"/>
    <w:rsid w:val="00EA131A"/>
    <w:rsid w:val="00EB2B04"/>
    <w:rsid w:val="00EB2D63"/>
    <w:rsid w:val="00F22D1F"/>
    <w:rsid w:val="00F44F0E"/>
    <w:rsid w:val="00F46C79"/>
    <w:rsid w:val="00F628AB"/>
    <w:rsid w:val="00F83552"/>
    <w:rsid w:val="00FA06F8"/>
    <w:rsid w:val="00FA2670"/>
    <w:rsid w:val="00FA74EE"/>
    <w:rsid w:val="00FB7258"/>
    <w:rsid w:val="05011D42"/>
    <w:rsid w:val="1D980D3A"/>
    <w:rsid w:val="7ACF0B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F6CA3"/>
    <w:pPr>
      <w:widowControl w:val="0"/>
      <w:jc w:val="both"/>
    </w:pPr>
    <w:rPr>
      <w:rFonts w:ascii="Calibri" w:hAnsi="Calibri" w:cs="黑体"/>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F6CA3"/>
    <w:rPr>
      <w:sz w:val="18"/>
      <w:szCs w:val="18"/>
    </w:rPr>
  </w:style>
  <w:style w:type="character" w:customStyle="1" w:styleId="BalloonTextChar">
    <w:name w:val="Balloon Text Char"/>
    <w:basedOn w:val="DefaultParagraphFont"/>
    <w:link w:val="BalloonText"/>
    <w:uiPriority w:val="99"/>
    <w:semiHidden/>
    <w:locked/>
    <w:rsid w:val="005F6CA3"/>
    <w:rPr>
      <w:rFonts w:cs="Times New Roman"/>
      <w:sz w:val="18"/>
      <w:szCs w:val="18"/>
    </w:rPr>
  </w:style>
  <w:style w:type="paragraph" w:styleId="Footer">
    <w:name w:val="footer"/>
    <w:basedOn w:val="Normal"/>
    <w:link w:val="FooterChar"/>
    <w:uiPriority w:val="99"/>
    <w:rsid w:val="005F6CA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F6CA3"/>
    <w:rPr>
      <w:rFonts w:cs="Times New Roman"/>
      <w:sz w:val="18"/>
      <w:szCs w:val="18"/>
    </w:rPr>
  </w:style>
  <w:style w:type="paragraph" w:styleId="Header">
    <w:name w:val="header"/>
    <w:basedOn w:val="Normal"/>
    <w:link w:val="HeaderChar"/>
    <w:uiPriority w:val="99"/>
    <w:rsid w:val="005F6CA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F6CA3"/>
    <w:rPr>
      <w:rFonts w:cs="Times New Roman"/>
      <w:sz w:val="18"/>
      <w:szCs w:val="18"/>
    </w:rPr>
  </w:style>
  <w:style w:type="table" w:styleId="TableGrid">
    <w:name w:val="Table Grid"/>
    <w:basedOn w:val="TableNormal"/>
    <w:uiPriority w:val="99"/>
    <w:rsid w:val="005F6CA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Char"/>
    <w:uiPriority w:val="99"/>
    <w:rsid w:val="005F6CA3"/>
    <w:rPr>
      <w:rFonts w:ascii="Calibri" w:hAnsi="Calibri" w:cs="黑体"/>
      <w:kern w:val="0"/>
      <w:sz w:val="22"/>
    </w:rPr>
  </w:style>
  <w:style w:type="character" w:customStyle="1" w:styleId="Char">
    <w:name w:val="无间隔 Char"/>
    <w:basedOn w:val="DefaultParagraphFont"/>
    <w:link w:val="NoSpacing1"/>
    <w:uiPriority w:val="99"/>
    <w:locked/>
    <w:rsid w:val="005F6CA3"/>
    <w:rPr>
      <w:rFonts w:ascii="Calibri" w:hAnsi="Calibri" w:cs="黑体"/>
      <w:sz w:val="22"/>
      <w:szCs w:val="22"/>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5</Pages>
  <Words>206</Words>
  <Characters>1178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2014年**部门决算   （范本）</dc:title>
  <dc:subject/>
  <dc:creator>李峰</dc:creator>
  <cp:keywords/>
  <dc:description/>
  <cp:lastModifiedBy>微软用户</cp:lastModifiedBy>
  <cp:revision>4</cp:revision>
  <cp:lastPrinted>2015-10-31T08:11:00Z</cp:lastPrinted>
  <dcterms:created xsi:type="dcterms:W3CDTF">2015-10-30T07:05:00Z</dcterms:created>
  <dcterms:modified xsi:type="dcterms:W3CDTF">2015-11-04T07:30:00Z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